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2023</w:t>
      </w:r>
    </w:p>
    <w:bookmarkStart w:id="26" w:name="Xf5652257e93602183c23e2db05d315ec6fb3cb6"/>
    <w:p>
      <w:pPr>
        <w:pStyle w:val="Heading1"/>
      </w:pPr>
      <w:r>
        <w:t xml:space="preserve">Beijing Financial Analyst Sales Performance Report: Strategic Insights &amp; Market Advancement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Location:</w:t>
      </w:r>
      <w:r>
        <w:t xml:space="preserve"> </w:t>
      </w:r>
      <w:r>
        <w:t xml:space="preserve">Beijing, China</w:t>
      </w:r>
    </w:p>
    <w:bookmarkStart w:id="20" w:name="i.-executive-summary"/>
    <w:p>
      <w:pPr>
        <w:pStyle w:val="Heading2"/>
      </w:pPr>
      <w:r>
        <w:t xml:space="preserve">I. Executive Summary</w:t>
      </w:r>
    </w:p>
    <w:p>
      <w:pPr>
        <w:pStyle w:val="FirstParagraph"/>
      </w:pPr>
      <w:r>
        <w:t xml:space="preserve">This comprehensive Sales Report details the critical contributions of the Financial Analyst team in driving revenue growth and strategic decision-making for our multinational financial services firm operating within the dynamic Beijing market. As China's economic and financial hub, Beijing presents unique opportunities and challenges that demand precise data-driven insights. This report demonstrates how our Financial Analysts have directly influenced sales strategy execution, exceeding Q3 targets by 12% through advanced market intelligence tailored to Beijing's regulatory environment and client behavior patterns.</w:t>
      </w:r>
    </w:p>
    <w:bookmarkEnd w:id="20"/>
    <w:bookmarkStart w:id="21" w:name="Xb002f0a45c41b3d30181cd41f1f6bcd501d03a4"/>
    <w:p>
      <w:pPr>
        <w:pStyle w:val="Heading2"/>
      </w:pPr>
      <w:r>
        <w:t xml:space="preserve">II. Beijing Market Context &amp; Sales Performance</w:t>
      </w:r>
    </w:p>
    <w:p>
      <w:pPr>
        <w:pStyle w:val="FirstParagraph"/>
      </w:pPr>
      <w:r>
        <w:t xml:space="preserve">Operating in China's capital city requires nuanced understanding of local financial ecosystems. Beijing hosts the headquarters of the People's Bank of China (PBoC), major state-owned enterprises, and a rapidly expanding fintech sector in Zhongguancun Science Park. The Financial Analyst team has developed specialized models tracking these market dynamics, revealing that 68% of our Q3 sales growth came from strategic positioning within Beijing's state-invested enterprise sector—a segment requiring deep regulatory knowledge absent in standard financial reports.</w:t>
      </w:r>
    </w:p>
    <w:p>
      <w:pPr>
        <w:pStyle w:val="BodyText"/>
      </w:pPr>
      <w:r>
        <w:t xml:space="preserve">Key Sales Metrics (Beijing Market, Q3 2023):</w:t>
      </w:r>
    </w:p>
    <w:p>
      <w:pPr>
        <w:pStyle w:val="BodyText"/>
      </w:pPr>
      <w:r>
        <w:t xml:space="preserve">KPI</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Total Revenue (RMB)</w:t>
      </w:r>
    </w:p>
    <w:p>
      <w:pPr>
        <w:pStyle w:val="BodyText"/>
      </w:pPr>
      <w:r>
        <w:t xml:space="preserve">185,400,000</w:t>
      </w:r>
    </w:p>
    <w:p>
      <w:pPr>
        <w:pStyle w:val="BodyText"/>
      </w:pPr>
      <w:r>
        <w:t xml:space="preserve">219,756,832</w:t>
      </w:r>
    </w:p>
    <w:p>
      <w:pPr>
        <w:pStyle w:val="BodyText"/>
      </w:pPr>
      <w:r>
        <w:t xml:space="preserve">+18.5%</w:t>
      </w:r>
    </w:p>
    <w:p>
      <w:pPr>
        <w:pStyle w:val="BodyText"/>
      </w:pPr>
      <w:r>
        <w:t xml:space="preserve">Sales Growth vs Target</w:t>
      </w:r>
    </w:p>
    <w:p>
      <w:pPr>
        <w:pStyle w:val="BodyText"/>
      </w:pPr>
      <w:r>
        <w:t xml:space="preserve">+3.7%</w:t>
      </w:r>
    </w:p>
    <w:bookmarkEnd w:id="21"/>
    <w:bookmarkStart w:id="22" w:name="X83f535c39ea03f4875021f02077aeefa6fd7136"/>
    <w:p>
      <w:pPr>
        <w:pStyle w:val="Heading2"/>
      </w:pPr>
      <w:r>
        <w:t xml:space="preserve">III. Financial Analyst Impact on Sales Strategy</w:t>
      </w:r>
    </w:p>
    <w:p>
      <w:pPr>
        <w:pStyle w:val="FirstParagraph"/>
      </w:pPr>
      <w:r>
        <w:t xml:space="preserve">Our Beijing-based Financial Analysts have transformed raw market data into actionable sales intelligence through three key initiatives:</w:t>
      </w:r>
    </w:p>
    <w:p>
      <w:pPr>
        <w:numPr>
          <w:ilvl w:val="0"/>
          <w:numId w:val="1001"/>
        </w:numPr>
        <w:pStyle w:val="Compact"/>
      </w:pPr>
      <w:r>
        <w:rPr>
          <w:bCs/>
          <w:b/>
        </w:rPr>
        <w:t xml:space="preserve">Regulatory Compliance Mapping:</w:t>
      </w:r>
      <w:r>
        <w:t xml:space="preserve"> </w:t>
      </w:r>
      <w:r>
        <w:t xml:space="preserve">Developed a real-time dashboard tracking PBoC policy changes impacting investment products. This enabled our sales team to proactively adjust offerings before regulatory shifts, securing contracts with 15 new state-backed clients in Q3—a 40% increase from prior quarter.</w:t>
      </w:r>
    </w:p>
    <w:p>
      <w:pPr>
        <w:numPr>
          <w:ilvl w:val="0"/>
          <w:numId w:val="1001"/>
        </w:numPr>
        <w:pStyle w:val="Compact"/>
      </w:pPr>
      <w:r>
        <w:rPr>
          <w:bCs/>
          <w:b/>
        </w:rPr>
        <w:t xml:space="preserve">Customer Segmentation Analytics:</w:t>
      </w:r>
      <w:r>
        <w:t xml:space="preserve"> </w:t>
      </w:r>
      <w:r>
        <w:t xml:space="preserve">Identified high-potential SME clusters in Beijing's Dongcheng and Chaoyang districts through spend-pattern analysis. This targeted approach increased conversion rates by 27% among small enterprises, directly contributing to RMB 48 million in new business.</w:t>
      </w:r>
    </w:p>
    <w:p>
      <w:pPr>
        <w:numPr>
          <w:ilvl w:val="0"/>
          <w:numId w:val="1001"/>
        </w:numPr>
        <w:pStyle w:val="Compact"/>
      </w:pPr>
      <w:r>
        <w:rPr>
          <w:bCs/>
          <w:b/>
        </w:rPr>
        <w:t xml:space="preserve">Competitive Intelligence Engine:</w:t>
      </w:r>
      <w:r>
        <w:t xml:space="preserve"> </w:t>
      </w:r>
      <w:r>
        <w:t xml:space="preserve">Monitored pricing strategies of local competitors like Ping An and Industrial Bank, allowing our sales team to position premium services effectively. This resulted in a 33% higher average deal size in Beijing versus other China regions.</w:t>
      </w:r>
    </w:p>
    <w:bookmarkEnd w:id="22"/>
    <w:bookmarkStart w:id="23" w:name="X5d5c907f1bfcd035e48195881e7ee5e0234922e"/>
    <w:p>
      <w:pPr>
        <w:pStyle w:val="Heading2"/>
      </w:pPr>
      <w:r>
        <w:t xml:space="preserve">IV. Case Study: Beijing State-Owned Enterprise (SOE) Initiative</w:t>
      </w:r>
    </w:p>
    <w:p>
      <w:pPr>
        <w:pStyle w:val="FirstParagraph"/>
      </w:pPr>
      <w:r>
        <w:t xml:space="preserve">The most significant sales win of Q3 involved a comprehensive financial analysis of a major Beijing SOE's capital allocation strategy. The Financial Analyst team conducted in-depth due diligence, uncovering that the client required customized ESG-compliant investment vehicles—a gap not addressed by competitors. This insight directly shaped our sales pitch, resulting in a RMB 85 million multi-year contract. Crucially, this was only possible through the Financial Analyst's ability to interpret China's new ESG disclosure regulations (effective January 2023) and translate them into client-specific value propositions.</w:t>
      </w:r>
    </w:p>
    <w:bookmarkEnd w:id="23"/>
    <w:bookmarkStart w:id="24" w:name="v.-strategic-recommendations-for-q4-2023"/>
    <w:p>
      <w:pPr>
        <w:pStyle w:val="Heading2"/>
      </w:pPr>
      <w:r>
        <w:t xml:space="preserve">V. Strategic Recommendations for Q4 2023</w:t>
      </w:r>
    </w:p>
    <w:p>
      <w:pPr>
        <w:pStyle w:val="FirstParagraph"/>
      </w:pPr>
      <w:r>
        <w:t xml:space="preserve">Based on Beijing market insights, the Financial Analyst team proposes three priority actions to maintain momentum:</w:t>
      </w:r>
    </w:p>
    <w:p>
      <w:pPr>
        <w:numPr>
          <w:ilvl w:val="0"/>
          <w:numId w:val="1002"/>
        </w:numPr>
        <w:pStyle w:val="Compact"/>
      </w:pPr>
      <w:r>
        <w:rPr>
          <w:bCs/>
          <w:b/>
        </w:rPr>
        <w:t xml:space="preserve">Expand Localized Data Partnerships:</w:t>
      </w:r>
      <w:r>
        <w:t xml:space="preserve"> </w:t>
      </w:r>
      <w:r>
        <w:t xml:space="preserve">Forge strategic alliances with Beijing-based data providers (e.g., CIC Data) to enhance real-time SME economic indicators. This will improve lead scoring accuracy for our sales team by 25%.</w:t>
      </w:r>
    </w:p>
    <w:p>
      <w:pPr>
        <w:numPr>
          <w:ilvl w:val="0"/>
          <w:numId w:val="1002"/>
        </w:numPr>
        <w:pStyle w:val="Compact"/>
      </w:pPr>
      <w:r>
        <w:rPr>
          <w:bCs/>
          <w:b/>
        </w:rPr>
        <w:t xml:space="preserve">Cultural Intelligence Integration:</w:t>
      </w:r>
      <w:r>
        <w:t xml:space="preserve"> </w:t>
      </w:r>
      <w:r>
        <w:t xml:space="preserve">Develop a China-specific sales playbook incorporating guanxi (relationship) dynamics identified through our Financial Analyst's market research. Training on these insights is projected to increase client retention rates by 18% in Beijing.</w:t>
      </w:r>
    </w:p>
    <w:p>
      <w:pPr>
        <w:numPr>
          <w:ilvl w:val="0"/>
          <w:numId w:val="1002"/>
        </w:numPr>
        <w:pStyle w:val="Compact"/>
      </w:pPr>
      <w:r>
        <w:rPr>
          <w:bCs/>
          <w:b/>
        </w:rPr>
        <w:t xml:space="preserve">Regulatory Forecasting Module:</w:t>
      </w:r>
      <w:r>
        <w:t xml:space="preserve"> </w:t>
      </w:r>
      <w:r>
        <w:t xml:space="preserve">Implement an AI-driven tool predicting PBoC policy impacts within 48 hours. This will position us as a proactive advisor during China's upcoming financial reform cycles, directly supporting sales pipeline growth.</w:t>
      </w:r>
    </w:p>
    <w:bookmarkEnd w:id="24"/>
    <w:bookmarkStart w:id="25" w:name="vi.-conclusion"/>
    <w:p>
      <w:pPr>
        <w:pStyle w:val="Heading2"/>
      </w:pPr>
      <w:r>
        <w:t xml:space="preserve">VI. Conclusion</w:t>
      </w:r>
    </w:p>
    <w:p>
      <w:pPr>
        <w:pStyle w:val="FirstParagraph"/>
      </w:pPr>
      <w:r>
        <w:t xml:space="preserve">The role of the Financial Analyst has evolved from a support function to a core driver of sales success in China Beijing. In this market where regulatory complexity and relationship dynamics dictate commercial outcomes, our Financial Analysts have delivered unprecedented value by transforming data into strategic sales advantages. The 12% revenue growth in Q3 is not merely a statistic—it represents the tangible impact of precise financial analysis tailored to Beijing's unique business ecosystem.</w:t>
      </w:r>
    </w:p>
    <w:p>
      <w:pPr>
        <w:pStyle w:val="BodyText"/>
      </w:pPr>
      <w:r>
        <w:t xml:space="preserve">As we enter Q4, the Financial Analyst team will deepen its integration with sales operations to capitalize on Beijing's emerging opportunities in digital assets and cross-border trade finance. The success achieved this quarter underscores why investing in localized financial intelligence is not optional—it is fundamental to sustainable growth in China's most strategic market. We recommend scaling these analytical capabilities across all China operations, beginning with Shanghai and Shenzhen, as the Beijing model demonstrates clear replicable value for our global sales strategy.</w:t>
      </w:r>
    </w:p>
    <w:p>
      <w:pPr>
        <w:pStyle w:val="BodyText"/>
      </w:pPr>
      <w:r>
        <w:rPr>
          <w:bCs/>
          <w:b/>
        </w:rPr>
        <w:t xml:space="preserve">Prepared By:</w:t>
      </w:r>
      <w:r>
        <w:t xml:space="preserve"> </w:t>
      </w:r>
      <w:r>
        <w:t xml:space="preserve">Financial Analytics Department |</w:t>
      </w:r>
      <w:r>
        <w:t xml:space="preserve"> </w:t>
      </w:r>
      <w:r>
        <w:rPr>
          <w:bCs/>
          <w:b/>
        </w:rPr>
        <w:t xml:space="preserve">Location:</w:t>
      </w:r>
      <w:r>
        <w:t xml:space="preserve"> </w:t>
      </w:r>
      <w:r>
        <w:t xml:space="preserve">Beijing Financial Center Complex, Wangfujing District |</w:t>
      </w:r>
      <w:r>
        <w:t xml:space="preserve"> </w:t>
      </w:r>
      <w:r>
        <w:rPr>
          <w:bCs/>
          <w:b/>
        </w:rPr>
        <w:t xml:space="preserve">Contact:</w:t>
      </w:r>
      <w:r>
        <w:t xml:space="preserve"> </w:t>
      </w:r>
      <w:r>
        <w:t xml:space="preserve">beijing.finance@globalfirm.com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Financial Analyst Sales Performance Report Q3 2023</dc:title>
  <dc:creator/>
  <dc:language>en</dc:language>
  <cp:keywords/>
  <dcterms:created xsi:type="dcterms:W3CDTF">2026-07-23T12:09:44Z</dcterms:created>
  <dcterms:modified xsi:type="dcterms:W3CDTF">2026-07-23T12:09:44Z</dcterms:modified>
</cp:coreProperties>
</file>

<file path=docProps/custom.xml><?xml version="1.0" encoding="utf-8"?>
<Properties xmlns="http://schemas.openxmlformats.org/officeDocument/2006/custom-properties" xmlns:vt="http://schemas.openxmlformats.org/officeDocument/2006/docPropsVTypes"/>
</file>