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Financial</w:t>
      </w:r>
      <w:r>
        <w:t xml:space="preserve"> </w:t>
      </w:r>
      <w:r>
        <w:t xml:space="preserve">Analyst</w:t>
      </w:r>
      <w:r>
        <w:t xml:space="preserve"> </w:t>
      </w:r>
      <w:r>
        <w:t xml:space="preserve">Sales</w:t>
      </w:r>
      <w:r>
        <w:t xml:space="preserve"> </w:t>
      </w:r>
      <w:r>
        <w:t xml:space="preserve">Performance</w:t>
      </w:r>
      <w:r>
        <w:t xml:space="preserve"> </w:t>
      </w:r>
      <w:r>
        <w:t xml:space="preserve">Report:</w:t>
      </w:r>
      <w:r>
        <w:t xml:space="preserve"> </w:t>
      </w:r>
      <w:r>
        <w:t xml:space="preserve">Guangzhou</w:t>
      </w:r>
      <w:r>
        <w:t xml:space="preserve"> </w:t>
      </w:r>
      <w:r>
        <w:t xml:space="preserve">Market</w:t>
      </w:r>
    </w:p>
    <w:bookmarkStart w:id="27" w:name="X35b63d91218468c29608244f25e5c6afafe7f74"/>
    <w:p>
      <w:pPr>
        <w:pStyle w:val="Heading1"/>
      </w:pPr>
      <w:r>
        <w:t xml:space="preserve">Sales Report: Financial Analyst Impact in China Guangzhou Market (Q3 2023)</w:t>
      </w:r>
    </w:p>
    <w:p>
      <w:pPr>
        <w:pStyle w:val="FirstParagraph"/>
      </w:pPr>
      <w:r>
        <w:rPr>
          <w:bCs/>
          <w:b/>
        </w:rPr>
        <w:t xml:space="preserve">Prepared For:</w:t>
      </w:r>
      <w:r>
        <w:t xml:space="preserve"> </w:t>
      </w:r>
      <w:r>
        <w:t xml:space="preserve">Executive Leadership, China Operations</w:t>
      </w:r>
      <w:r>
        <w:br/>
      </w:r>
      <w:r>
        <w:rPr>
          <w:bCs/>
          <w:b/>
        </w:rPr>
        <w:t xml:space="preserve">Date:</w:t>
      </w:r>
      <w:r>
        <w:t xml:space="preserve"> </w:t>
      </w:r>
      <w:r>
        <w:t xml:space="preserve">October 26, 2023</w:t>
      </w:r>
      <w:r>
        <w:br/>
      </w:r>
      <w:r>
        <w:rPr>
          <w:bCs/>
          <w:b/>
        </w:rPr>
        <w:t xml:space="preserve">Report Period:</w:t>
      </w:r>
      <w:r>
        <w:t xml:space="preserve"> </w:t>
      </w:r>
      <w:r>
        <w:t xml:space="preserve">July 1, 2023 – September 30, 2023</w:t>
      </w:r>
      <w:r>
        <w:br/>
      </w:r>
      <w:r>
        <w:rPr>
          <w:bCs/>
          <w:b/>
        </w:rPr>
        <w:t xml:space="preserve">Prepared By:</w:t>
      </w:r>
      <w:r>
        <w:t xml:space="preserve"> </w:t>
      </w:r>
      <w:r>
        <w:t xml:space="preserve">Regional Finance &amp; Sales Strategy Team</w:t>
      </w:r>
    </w:p>
    <w:bookmarkStart w:id="20" w:name="executive-summary"/>
    <w:p>
      <w:pPr>
        <w:pStyle w:val="Heading2"/>
      </w:pPr>
      <w:r>
        <w:t xml:space="preserve">Executive Summary</w:t>
      </w:r>
    </w:p>
    <w:p>
      <w:pPr>
        <w:pStyle w:val="FirstParagraph"/>
      </w:pPr>
      <w:r>
        <w:t xml:space="preserve">This Sales Report details the critical contributions of the Financial Analyst role within our Guangzhou operations during Q3 2023. The China Guangzhou market demonstrated significant growth potential, and strategic financial analysis directly enabled a 18.7% increase in regional sales performance against Q2 targets. The Financial Analyst team provided actionable insights that optimized resource allocation, identified high-potential customer segments, and mitigated economic volatility risks specific to the Pearl River Delta ecosystem. This document underscores how the Financial Analyst function is indispensable for sustainable sales growth in China Guangzhou.</w:t>
      </w:r>
    </w:p>
    <w:bookmarkEnd w:id="20"/>
    <w:bookmarkStart w:id="21" w:name="X998418267d917e0c036b7f6407c581cbdec335c"/>
    <w:p>
      <w:pPr>
        <w:pStyle w:val="Heading2"/>
      </w:pPr>
      <w:r>
        <w:t xml:space="preserve">China Guangzhou: Market Context &amp; Strategic Importance</w:t>
      </w:r>
    </w:p>
    <w:p>
      <w:pPr>
        <w:pStyle w:val="FirstParagraph"/>
      </w:pPr>
      <w:r>
        <w:t xml:space="preserve">Guangzhou, as the capital of Guangdong Province and a Tier-1 economic hub, serves as our primary gateway to Southern China’s manufacturing and export-driven economy. The city is home to 3.7 million registered businesses, including 48% specializing in technology exports and e-commerce logistics (Guangdong Provincial Statistics Bureau, Q3). With the Canton Fair as a major quarterly catalyst and proximity to key industrial zones like Huadu and Nansha Free Trade Zone, Guangzhou presents both immense opportunity and complex market dynamics. The success of our Sales Report hinges entirely on understanding these local nuances—a task where the Financial Analyst role becomes pivotal.</w:t>
      </w:r>
    </w:p>
    <w:bookmarkEnd w:id="21"/>
    <w:bookmarkStart w:id="22" w:name="Xba2f4ffbf848b7893f8d06e0075d93c23891fa3"/>
    <w:p>
      <w:pPr>
        <w:pStyle w:val="Heading2"/>
      </w:pPr>
      <w:r>
        <w:t xml:space="preserve">The Financial Analyst: Core Responsibilities Driving Sales Outcomes</w:t>
      </w:r>
    </w:p>
    <w:p>
      <w:pPr>
        <w:pStyle w:val="FirstParagraph"/>
      </w:pPr>
      <w:r>
        <w:t xml:space="preserve">Within the China Guangzhou operations, the Financial Analyst does not merely process data; they actively shape sales strategy. Key responsibilities directly impacting our Q3 Sales Report include:</w:t>
      </w:r>
    </w:p>
    <w:p>
      <w:pPr>
        <w:numPr>
          <w:ilvl w:val="0"/>
          <w:numId w:val="1001"/>
        </w:numPr>
        <w:pStyle w:val="Compact"/>
      </w:pPr>
      <w:r>
        <w:rPr>
          <w:bCs/>
          <w:b/>
        </w:rPr>
        <w:t xml:space="preserve">Market-Specific Forecasting:</w:t>
      </w:r>
      <w:r>
        <w:t xml:space="preserve"> </w:t>
      </w:r>
      <w:r>
        <w:t xml:space="preserve">Analyzing Guangzhou’s quarterly industrial output shifts (e.g., semiconductor exports up 12% YoY) to predict demand surges for our enterprise SaaS solutions.</w:t>
      </w:r>
    </w:p>
    <w:p>
      <w:pPr>
        <w:numPr>
          <w:ilvl w:val="0"/>
          <w:numId w:val="1001"/>
        </w:numPr>
        <w:pStyle w:val="Compact"/>
      </w:pPr>
      <w:r>
        <w:rPr>
          <w:bCs/>
          <w:b/>
        </w:rPr>
        <w:t xml:space="preserve">Customer Profitability Mapping:</w:t>
      </w:r>
      <w:r>
        <w:t xml:space="preserve"> </w:t>
      </w:r>
      <w:r>
        <w:t xml:space="preserve">Segmenting clients by district (e.g., Tianhe, Yuexiu) and identifying that manufacturing SMEs in Nansha Free Trade Zone delivered 31% higher LTV than the city average, prompting targeted sales outreach.</w:t>
      </w:r>
    </w:p>
    <w:p>
      <w:pPr>
        <w:numPr>
          <w:ilvl w:val="0"/>
          <w:numId w:val="1001"/>
        </w:numPr>
        <w:pStyle w:val="Compact"/>
      </w:pPr>
      <w:r>
        <w:rPr>
          <w:bCs/>
          <w:b/>
        </w:rPr>
        <w:t xml:space="preserve">Risk-Adjusted Sales Targeting:</w:t>
      </w:r>
      <w:r>
        <w:t xml:space="preserve"> </w:t>
      </w:r>
      <w:r>
        <w:t xml:space="preserve">Using real-time data on Guangzhou’s property market (a key indicator of business investment health) to adjust sales incentives during Q3's temporary slowdown in commercial real estate.</w:t>
      </w:r>
    </w:p>
    <w:p>
      <w:pPr>
        <w:numPr>
          <w:ilvl w:val="0"/>
          <w:numId w:val="1001"/>
        </w:numPr>
        <w:pStyle w:val="Compact"/>
      </w:pPr>
      <w:r>
        <w:rPr>
          <w:bCs/>
          <w:b/>
        </w:rPr>
        <w:t xml:space="preserve">Competitive Pricing Analytics:</w:t>
      </w:r>
      <w:r>
        <w:t xml:space="preserve"> </w:t>
      </w:r>
      <w:r>
        <w:t xml:space="preserve">Monitoring Alibaba Cloud and Tencent Cloud pricing shifts in China Guangzhou, enabling us to launch a 5% competitive discount tier that captured 27 new mid-market clients.</w:t>
      </w:r>
    </w:p>
    <w:bookmarkEnd w:id="22"/>
    <w:bookmarkStart w:id="23" w:name="q3-sales-performance-data-driven-results"/>
    <w:p>
      <w:pPr>
        <w:pStyle w:val="Heading2"/>
      </w:pPr>
      <w:r>
        <w:t xml:space="preserve">Q3 Sales Performance: Data-Driven Results</w:t>
      </w:r>
    </w:p>
    <w:p>
      <w:pPr>
        <w:pStyle w:val="FirstParagraph"/>
      </w:pPr>
      <w:r>
        <w:t xml:space="preserve">The Financial Analyst’s work directly translated into measurable sales wins across China Guangzhou:</w:t>
      </w:r>
    </w:p>
    <w:p>
      <w:pPr>
        <w:pStyle w:val="BodyText"/>
      </w:pPr>
      <w:r>
        <w:t xml:space="preserve">KPI</w:t>
      </w:r>
    </w:p>
    <w:p>
      <w:pPr>
        <w:pStyle w:val="BodyText"/>
      </w:pPr>
      <w:r>
        <w:t xml:space="preserve">Q3 2023 Result</w:t>
      </w:r>
    </w:p>
    <w:p>
      <w:pPr>
        <w:pStyle w:val="BodyText"/>
      </w:pPr>
      <w:r>
        <w:t xml:space="preserve">Q2 2023 Result</w:t>
      </w:r>
    </w:p>
    <w:p>
      <w:pPr>
        <w:pStyle w:val="BodyText"/>
      </w:pPr>
      <w:r>
        <w:t xml:space="preserve">Variance</w:t>
      </w:r>
    </w:p>
    <w:p>
      <w:pPr>
        <w:pStyle w:val="BodyText"/>
      </w:pPr>
      <w:r>
        <w:t xml:space="preserve">Total Regional Sales Revenue (RMB)</w:t>
      </w:r>
    </w:p>
    <w:p>
      <w:pPr>
        <w:pStyle w:val="BodyText"/>
      </w:pPr>
      <w:r>
        <w:t xml:space="preserve">¥148.6M</w:t>
      </w:r>
    </w:p>
    <w:p>
      <w:pPr>
        <w:pStyle w:val="BodyText"/>
      </w:pPr>
      <w:r>
        <w:t xml:space="preserve">¥125.3M</w:t>
      </w:r>
    </w:p>
    <w:p>
      <w:pPr>
        <w:pStyle w:val="BodyText"/>
      </w:pPr>
      <w:r>
        <w:t xml:space="preserve">+18.7%</w:t>
      </w:r>
    </w:p>
    <w:p>
      <w:pPr>
        <w:pStyle w:val="BodyText"/>
      </w:pPr>
      <w:r>
        <w:t xml:space="preserve">New Enterprise Contracts (Guangzhou)</w:t>
      </w:r>
    </w:p>
    <w:p>
      <w:pPr>
        <w:pStyle w:val="BodyText"/>
      </w:pPr>
      <w:r>
        <w:t xml:space="preserve">42</w:t>
      </w:r>
    </w:p>
    <w:p>
      <w:pPr>
        <w:pStyle w:val="BodyText"/>
      </w:pPr>
      <w:r>
        <w:t xml:space="preserve">31</w:t>
      </w:r>
    </w:p>
    <w:p>
      <w:pPr>
        <w:pStyle w:val="BodyText"/>
      </w:pPr>
      <w:r>
        <w:t xml:space="preserve">+35.5%</w:t>
      </w:r>
    </w:p>
    <w:p>
      <w:pPr>
        <w:pStyle w:val="BodyText"/>
      </w:pPr>
      <w:r>
        <w:t xml:space="preserve">¥82,000</w:t>
      </w:r>
    </w:p>
    <w:p>
      <w:pPr>
        <w:pStyle w:val="BodyText"/>
      </w:pPr>
      <w:r>
        <w:t xml:space="preserve">¥94,500</w:t>
      </w:r>
    </w:p>
    <w:p>
      <w:pPr>
        <w:pStyle w:val="BodyText"/>
      </w:pPr>
      <w:r>
        <w:t xml:space="preserve">-13.2%</w:t>
      </w:r>
    </w:p>
    <w:p>
      <w:pPr>
        <w:pStyle w:val="BodyText"/>
      </w:pPr>
      <w:r>
        <w:t xml:space="preserve">92.4%</w:t>
      </w:r>
    </w:p>
    <w:p>
      <w:pPr>
        <w:pStyle w:val="BodyText"/>
      </w:pPr>
      <w:r>
        <w:t xml:space="preserve">83.1%</w:t>
      </w:r>
    </w:p>
    <w:p>
      <w:pPr>
        <w:pStyle w:val="BodyText"/>
      </w:pPr>
      <w:r>
        <w:t xml:space="preserve">+9.3 pp</w:t>
      </w:r>
    </w:p>
    <w:p>
      <w:pPr>
        <w:pStyle w:val="BodyText"/>
      </w:pPr>
      <w:r>
        <w:rPr>
          <w:bCs/>
          <w:b/>
        </w:rPr>
        <w:t xml:space="preserve">Key Insight:</w:t>
      </w:r>
      <w:r>
        <w:t xml:space="preserve"> </w:t>
      </w:r>
      <w:r>
        <w:t xml:space="preserve">The Financial Analyst’s analysis of Guangzhou’s post-COVID supply chain recovery (noted in our Q2 Sales Report) led to a preemptive sales campaign targeting logistics firms, directly contributing to 38% of new enterprise contracts. This strategy outperformed national average by 23 percentage points.</w:t>
      </w:r>
    </w:p>
    <w:bookmarkEnd w:id="23"/>
    <w:bookmarkStart w:id="24" w:name="X51c6a65128d61c08662adc0d26918e9735a53b8"/>
    <w:p>
      <w:pPr>
        <w:pStyle w:val="Heading2"/>
      </w:pPr>
      <w:r>
        <w:t xml:space="preserve">China Guangzhou-Specific Challenges Addressed</w:t>
      </w:r>
    </w:p>
    <w:p>
      <w:pPr>
        <w:pStyle w:val="FirstParagraph"/>
      </w:pPr>
      <w:r>
        <w:t xml:space="preserve">The Financial Analyst role was essential in navigating region-specific hurdles:</w:t>
      </w:r>
    </w:p>
    <w:p>
      <w:pPr>
        <w:numPr>
          <w:ilvl w:val="0"/>
          <w:numId w:val="1002"/>
        </w:numPr>
        <w:pStyle w:val="Compact"/>
      </w:pPr>
      <w:r>
        <w:rPr>
          <w:bCs/>
          <w:b/>
        </w:rPr>
        <w:t xml:space="preserve">Seasonal Demand Peaks:</w:t>
      </w:r>
      <w:r>
        <w:t xml:space="preserve"> </w:t>
      </w:r>
      <w:r>
        <w:t xml:space="preserve">Anticipated slowdowns during the Chinese Mid-Autumn Festival (September 29) and adjusted sales team coverage, preventing a potential 15% revenue dip.</w:t>
      </w:r>
    </w:p>
    <w:p>
      <w:pPr>
        <w:numPr>
          <w:ilvl w:val="0"/>
          <w:numId w:val="1002"/>
        </w:numPr>
        <w:pStyle w:val="Compact"/>
      </w:pPr>
      <w:r>
        <w:rPr>
          <w:bCs/>
          <w:b/>
        </w:rPr>
        <w:t xml:space="preserve">Regulatory Compliance:</w:t>
      </w:r>
      <w:r>
        <w:t xml:space="preserve"> </w:t>
      </w:r>
      <w:r>
        <w:t xml:space="preserve">Monitored new Guangdong data privacy laws (GDPR-like requirements under China’s PIPL), enabling legal sales collateral adjustments that avoided compliance penalties.</w:t>
      </w:r>
    </w:p>
    <w:p>
      <w:pPr>
        <w:numPr>
          <w:ilvl w:val="0"/>
          <w:numId w:val="1002"/>
        </w:numPr>
        <w:pStyle w:val="Compact"/>
      </w:pPr>
      <w:r>
        <w:rPr>
          <w:bCs/>
          <w:b/>
        </w:rPr>
        <w:t xml:space="preserve">Currency Volatility:</w:t>
      </w:r>
      <w:r>
        <w:t xml:space="preserve"> </w:t>
      </w:r>
      <w:r>
        <w:t xml:space="preserve">Tracked RMB/USD fluctuations affecting client payment terms; recommended flexible invoicing options that retained 98% of high-value clients during Q3's FX volatility.</w:t>
      </w:r>
    </w:p>
    <w:bookmarkEnd w:id="24"/>
    <w:bookmarkStart w:id="25" w:name="X7e3b565abe037d0955bad46c99834ca311b6833"/>
    <w:p>
      <w:pPr>
        <w:pStyle w:val="Heading2"/>
      </w:pPr>
      <w:r>
        <w:t xml:space="preserve">Strategic Recommendations for Continued Growth</w:t>
      </w:r>
    </w:p>
    <w:p>
      <w:pPr>
        <w:pStyle w:val="FirstParagraph"/>
      </w:pPr>
      <w:r>
        <w:t xml:space="preserve">To leverage the Financial Analyst’s proven impact in China Guangzhou, we propose:</w:t>
      </w:r>
    </w:p>
    <w:p>
      <w:pPr>
        <w:numPr>
          <w:ilvl w:val="0"/>
          <w:numId w:val="1003"/>
        </w:numPr>
        <w:pStyle w:val="Compact"/>
      </w:pPr>
      <w:r>
        <w:rPr>
          <w:bCs/>
          <w:b/>
        </w:rPr>
        <w:t xml:space="preserve">Expand Financial Analyst Coverage:</w:t>
      </w:r>
      <w:r>
        <w:t xml:space="preserve"> </w:t>
      </w:r>
      <w:r>
        <w:t xml:space="preserve">Allocate a dedicated analyst for each major district (Tianhe, Yuexiu, Nansha) to deepen hyperlocal market insights. Initial pilots show 22% higher conversion in targeted zones.</w:t>
      </w:r>
    </w:p>
    <w:p>
      <w:pPr>
        <w:numPr>
          <w:ilvl w:val="0"/>
          <w:numId w:val="1003"/>
        </w:numPr>
        <w:pStyle w:val="Compact"/>
      </w:pPr>
      <w:r>
        <w:rPr>
          <w:bCs/>
          <w:b/>
        </w:rPr>
        <w:t xml:space="preserve">Integrate AI Forecasting Tools:</w:t>
      </w:r>
      <w:r>
        <w:t xml:space="preserve"> </w:t>
      </w:r>
      <w:r>
        <w:t xml:space="preserve">Implement machine learning models trained on Guangzhou-specific datasets (e.g., Canton Fair attendance trends, local GDP indicators) to improve sales pipeline accuracy by 30%+.</w:t>
      </w:r>
    </w:p>
    <w:p>
      <w:pPr>
        <w:numPr>
          <w:ilvl w:val="0"/>
          <w:numId w:val="1003"/>
        </w:numPr>
        <w:pStyle w:val="Compact"/>
      </w:pPr>
      <w:r>
        <w:rPr>
          <w:bCs/>
          <w:b/>
        </w:rPr>
        <w:t xml:space="preserve">Enhance Cross-Functional Training:</w:t>
      </w:r>
      <w:r>
        <w:t xml:space="preserve"> </w:t>
      </w:r>
      <w:r>
        <w:t xml:space="preserve">Establish quarterly workshops where Financial Analysts present insights directly to Sales teams on Guangzhou economic triggers (e.g., "How Shanghai’s EV policies impact Guangzhou manufacturing demand").</w:t>
      </w:r>
    </w:p>
    <w:bookmarkEnd w:id="25"/>
    <w:bookmarkStart w:id="26" w:name="conclusion"/>
    <w:p>
      <w:pPr>
        <w:pStyle w:val="Heading2"/>
      </w:pPr>
      <w:r>
        <w:t xml:space="preserve">Conclusion</w:t>
      </w:r>
    </w:p>
    <w:p>
      <w:pPr>
        <w:pStyle w:val="FirstParagraph"/>
      </w:pPr>
      <w:r>
        <w:t xml:space="preserve">The Sales Report for China Guangzhou unequivocally demonstrates that the Financial Analyst role is not a support function but a strategic growth engine. By transforming complex regional economic data into precise sales actions—whether optimizing pricing for Nansha industrial parks or anticipating regulatory shifts—the Financial Analyst delivered an 18.7% revenue surge in Q3. In the highly competitive China Guangzhou market, where speed and local insight dictate success, investing in this role is non-negotiable. We recommend embedding Financial Analysts as core members of all sales planning cycles for the Guangzhou office moving forward. Their data-driven approach ensures every sales initiative aligns with the city’s unique economic pulse, turning market volatility into sustained opportunity.</w:t>
      </w:r>
    </w:p>
    <w:p>
      <w:pPr>
        <w:pStyle w:val="BodyText"/>
      </w:pPr>
      <w:r>
        <w:rPr>
          <w:bCs/>
          <w:b/>
        </w:rPr>
        <w:t xml:space="preserve">Approved By:</w:t>
      </w:r>
      <w:r>
        <w:t xml:space="preserve"> </w:t>
      </w:r>
      <w:r>
        <w:t xml:space="preserve">Maria Chen, Regional Sales Director - China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Analyst Sales Performance Report: Guangzhou Market</dc:title>
  <dc:creator/>
  <dc:language>en</dc:language>
  <cp:keywords/>
  <dcterms:created xsi:type="dcterms:W3CDTF">2026-08-07T03:35:40Z</dcterms:created>
  <dcterms:modified xsi:type="dcterms:W3CDTF">2026-08-07T03:35:40Z</dcterms:modified>
</cp:coreProperties>
</file>

<file path=docProps/custom.xml><?xml version="1.0" encoding="utf-8"?>
<Properties xmlns="http://schemas.openxmlformats.org/officeDocument/2006/custom-properties" xmlns:vt="http://schemas.openxmlformats.org/officeDocument/2006/docPropsVTypes"/>
</file>