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for</w:t>
      </w:r>
      <w:r>
        <w:t xml:space="preserve"> </w:t>
      </w:r>
      <w:r>
        <w:t xml:space="preserve">China</w:t>
      </w:r>
      <w:r>
        <w:t xml:space="preserve"> </w:t>
      </w:r>
      <w:r>
        <w:t xml:space="preserve">Shanghai</w:t>
      </w:r>
    </w:p>
    <w:bookmarkStart w:id="28" w:name="Xe52556d5ff2ed20d8e9b6aa666473689ab46f0a"/>
    <w:p>
      <w:pPr>
        <w:pStyle w:val="Heading1"/>
      </w:pPr>
      <w:r>
        <w:t xml:space="preserve">Q3 2024 Sales Performance Report: Strategic Financial Analysis for China Shanghai Operations</w:t>
      </w:r>
    </w:p>
    <w:p>
      <w:pPr>
        <w:pStyle w:val="FirstParagraph"/>
      </w:pPr>
      <w:r>
        <w:rPr>
          <w:bCs/>
          <w:b/>
        </w:rPr>
        <w:t xml:space="preserve">Prepared For:</w:t>
      </w:r>
      <w:r>
        <w:t xml:space="preserve"> </w:t>
      </w:r>
      <w:r>
        <w:t xml:space="preserve">Executive Leadership &amp; Sales Management Team</w:t>
      </w:r>
      <w:r>
        <w:br/>
      </w:r>
      <w:r>
        <w:rPr>
          <w:bCs/>
          <w:b/>
        </w:rPr>
        <w:t xml:space="preserve">Date:</w:t>
      </w:r>
      <w:r>
        <w:t xml:space="preserve"> </w:t>
      </w:r>
      <w:r>
        <w:t xml:space="preserve">October 26, 2024</w:t>
      </w:r>
      <w:r>
        <w:br/>
      </w:r>
      <w:r>
        <w:rPr>
          <w:bCs/>
          <w:b/>
        </w:rPr>
        <w:t xml:space="preserve">Prepared By:</w:t>
      </w:r>
      <w:r>
        <w:t xml:space="preserve"> </w:t>
      </w:r>
      <w:r>
        <w:t xml:space="preserve">Global Finance Department - Shanghai Regional Office</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presents a detailed analysis of Q3 2024 performance metrics, with critical insights from our dedicated Financial Analyst team operating within the dynamic commercial ecosystem of China Shanghai. The report confirms a 14.7% YoY growth in regional revenue, driven by strategic product expansions and heightened demand in Shanghai's financial district. As the nerve center of China's economic innovation,</w:t>
      </w:r>
      <w:r>
        <w:t xml:space="preserve"> </w:t>
      </w:r>
      <w:r>
        <w:rPr>
          <w:bCs/>
          <w:b/>
        </w:rPr>
        <w:t xml:space="preserve">China Shanghai</w:t>
      </w:r>
      <w:r>
        <w:t xml:space="preserve"> </w:t>
      </w:r>
      <w:r>
        <w:t xml:space="preserve">continues to demonstrate exceptional market potential for our premium financial solutions portfolio. Our Financial Analysts have identified key growth vectors requiring immediate attention to sustain momentum through Q4.</w:t>
      </w:r>
    </w:p>
    <w:bookmarkEnd w:id="20"/>
    <w:bookmarkStart w:id="21" w:name="X8f5113941142637615cce781d233382ab398304"/>
    <w:p>
      <w:pPr>
        <w:pStyle w:val="Heading2"/>
      </w:pPr>
      <w:r>
        <w:t xml:space="preserve">II. Market Context: China Shanghai's Unique Dynamics</w:t>
      </w:r>
    </w:p>
    <w:p>
      <w:pPr>
        <w:pStyle w:val="FirstParagraph"/>
      </w:pPr>
      <w:r>
        <w:t xml:space="preserve">Shanghai's position as Asia's premier financial hub directly influences our sales trajectory. The city accounts for 38% of our national revenue despite representing only 12% of our physical footprint, underscoring its disproportionate economic impact. This</w:t>
      </w:r>
      <w:r>
        <w:t xml:space="preserve"> </w:t>
      </w:r>
      <w:r>
        <w:rPr>
          <w:iCs/>
          <w:i/>
        </w:rPr>
        <w:t xml:space="preserve">Sales Report</w:t>
      </w:r>
      <w:r>
        <w:t xml:space="preserve"> </w:t>
      </w:r>
      <w:r>
        <w:t xml:space="preserve">emphasizes how Shanghai's regulatory environment—particularly the Pudong New District's fintech-friendly policies—and proximity to multinational headquarters create unparalleled sales opportunities. Our</w:t>
      </w:r>
      <w:r>
        <w:t xml:space="preserve"> </w:t>
      </w:r>
      <w:r>
        <w:rPr>
          <w:bCs/>
          <w:b/>
        </w:rPr>
        <w:t xml:space="preserve">Financial Analyst</w:t>
      </w:r>
      <w:r>
        <w:t xml:space="preserve"> </w:t>
      </w:r>
      <w:r>
        <w:t xml:space="preserve">team has developed a Shanghai-specific market index that tracks 12 key indicators, including: (1) RMB cross-border transaction volumes, (2) FDI inflows into fintech sectors, and (3) local enterprise digital transformation rates. These metrics confirm that Shanghai's market is not merely growing—it's evolving at an accelerating pace.</w:t>
      </w:r>
    </w:p>
    <w:bookmarkEnd w:id="21"/>
    <w:bookmarkStart w:id="22" w:name="X87de4a43d065cd31e1d0ac9b420027b20c62fac"/>
    <w:p>
      <w:pPr>
        <w:pStyle w:val="Heading2"/>
      </w:pPr>
      <w:r>
        <w:t xml:space="preserve">III. Q3 Performance Analysis: Data-Driven Insights</w:t>
      </w:r>
    </w:p>
    <w:p>
      <w:pPr>
        <w:pStyle w:val="FirstParagraph"/>
      </w:pPr>
      <w:r>
        <w:t xml:space="preserve">Our Financial Analysts deployed advanced predictive modeling to dissect Q3 results, revealing three critical patterns:</w:t>
      </w:r>
    </w:p>
    <w:p>
      <w:pPr>
        <w:numPr>
          <w:ilvl w:val="0"/>
          <w:numId w:val="1001"/>
        </w:numPr>
        <w:pStyle w:val="Compact"/>
      </w:pPr>
      <w:r>
        <w:rPr>
          <w:bCs/>
          <w:b/>
        </w:rPr>
        <w:t xml:space="preserve">Product Mix Shift:</w:t>
      </w:r>
      <w:r>
        <w:t xml:space="preserve"> </w:t>
      </w:r>
      <w:r>
        <w:t xml:space="preserve">Cloud-based analytics solutions surged 42% YoY in Shanghai (vs. 18% national average), indicating strong alignment with local enterprises' digital transformation mandates.</w:t>
      </w:r>
    </w:p>
    <w:p>
      <w:pPr>
        <w:numPr>
          <w:ilvl w:val="0"/>
          <w:numId w:val="1001"/>
        </w:numPr>
        <w:pStyle w:val="Compact"/>
      </w:pPr>
      <w:r>
        <w:rPr>
          <w:bCs/>
          <w:b/>
        </w:rPr>
        <w:t xml:space="preserve">Client Acquisition Efficiency:</w:t>
      </w:r>
      <w:r>
        <w:t xml:space="preserve"> </w:t>
      </w:r>
      <w:r>
        <w:t xml:space="preserve">The average sales cycle shortened by 23 days due to our new AI-driven lead scoring system, directly attributable to Shanghai Market Intelligence Unit's data recommendations.</w:t>
      </w:r>
    </w:p>
    <w:p>
      <w:pPr>
        <w:numPr>
          <w:ilvl w:val="0"/>
          <w:numId w:val="1001"/>
        </w:numPr>
        <w:pStyle w:val="Compact"/>
      </w:pPr>
      <w:r>
        <w:rPr>
          <w:bCs/>
          <w:b/>
        </w:rPr>
        <w:t xml:space="preserve">Channel Effectiveness:</w:t>
      </w:r>
      <w:r>
        <w:t xml:space="preserve"> </w:t>
      </w:r>
      <w:r>
        <w:t xml:space="preserve">Partner channels generated 68% of new revenue (up from 54% in Q1), with Shanghai-based fintech alliances driving 37% of total channel volume.</w:t>
      </w:r>
    </w:p>
    <w:p>
      <w:pPr>
        <w:pStyle w:val="FirstParagraph"/>
      </w:pPr>
      <w:r>
        <w:t xml:space="preserve">Crucially, the Financial Analyst team pinpointed that Shanghai's unique regulatory landscape requires nuanced sales approaches. For example, compliance requirements for cross-border data flows reduced average deal size by 9% in Q2—insights we've now integrated into our sales playbooks through real-time analytics.</w:t>
      </w:r>
    </w:p>
    <w:bookmarkEnd w:id="22"/>
    <w:bookmarkStart w:id="23" w:name="iv.-challenges-strategic-imperatives"/>
    <w:p>
      <w:pPr>
        <w:pStyle w:val="Heading2"/>
      </w:pPr>
      <w:r>
        <w:t xml:space="preserve">IV. Challenges &amp; Strategic Imperatives</w:t>
      </w:r>
    </w:p>
    <w:p>
      <w:pPr>
        <w:pStyle w:val="FirstParagraph"/>
      </w:pPr>
      <w:r>
        <w:t xml:space="preserve">This Sales Report identifies three urgent challenges specific to China Shanghai operations:</w:t>
      </w:r>
    </w:p>
    <w:p>
      <w:pPr>
        <w:numPr>
          <w:ilvl w:val="0"/>
          <w:numId w:val="1002"/>
        </w:numPr>
        <w:pStyle w:val="Compact"/>
      </w:pPr>
      <w:r>
        <w:rPr>
          <w:bCs/>
          <w:b/>
        </w:rPr>
        <w:t xml:space="preserve">Regulatory Adaptation Speed:</w:t>
      </w:r>
      <w:r>
        <w:t xml:space="preserve"> </w:t>
      </w:r>
      <w:r>
        <w:t xml:space="preserve">New Pudong data governance rules require monthly sales process adjustments. Our Financial Analyst team now provides weekly regulatory impact assessments.</w:t>
      </w:r>
    </w:p>
    <w:p>
      <w:pPr>
        <w:numPr>
          <w:ilvl w:val="0"/>
          <w:numId w:val="1002"/>
        </w:numPr>
        <w:pStyle w:val="Compact"/>
      </w:pPr>
      <w:r>
        <w:rPr>
          <w:bCs/>
          <w:b/>
        </w:rPr>
        <w:t xml:space="preserve">Talent Retention in Competitive Market:</w:t>
      </w:r>
      <w:r>
        <w:t xml:space="preserve"> </w:t>
      </w:r>
      <w:r>
        <w:t xml:space="preserve">Shanghai's fintech talent market has 12% higher turnover than national average. The Financial Analyst team developed a retention index correlating compensation benchmarks with deal velocity.</w:t>
      </w:r>
    </w:p>
    <w:p>
      <w:pPr>
        <w:numPr>
          <w:ilvl w:val="0"/>
          <w:numId w:val="1002"/>
        </w:numPr>
        <w:pStyle w:val="Compact"/>
      </w:pPr>
      <w:r>
        <w:rPr>
          <w:bCs/>
          <w:b/>
        </w:rPr>
        <w:t xml:space="preserve">Geographic Disparities:</w:t>
      </w:r>
      <w:r>
        <w:t xml:space="preserve"> </w:t>
      </w:r>
      <w:r>
        <w:t xml:space="preserve">While Pudong shows 29% YoY growth, Yangpu District lags at 6%. The Financial Analysts attribute this to uneven digital infrastructure investment and recommend targeted sales resource reallocation.</w:t>
      </w:r>
    </w:p>
    <w:bookmarkEnd w:id="23"/>
    <w:bookmarkStart w:id="24" w:name="v.-data-backed-recommendations"/>
    <w:p>
      <w:pPr>
        <w:pStyle w:val="Heading2"/>
      </w:pPr>
      <w:r>
        <w:t xml:space="preserve">V. Data-Backed Recommendations</w:t>
      </w:r>
    </w:p>
    <w:p>
      <w:pPr>
        <w:pStyle w:val="FirstParagraph"/>
      </w:pPr>
      <w:r>
        <w:t xml:space="preserve">Based on our Shanghai-specific Financial Analysis, we propose three evidence-based initiatives:</w:t>
      </w:r>
    </w:p>
    <w:p>
      <w:pPr>
        <w:numPr>
          <w:ilvl w:val="0"/>
          <w:numId w:val="1003"/>
        </w:numPr>
        <w:pStyle w:val="Compact"/>
      </w:pPr>
      <w:r>
        <w:rPr>
          <w:bCs/>
          <w:b/>
        </w:rPr>
        <w:t xml:space="preserve">Launch "Shanghai Regulatory Navigator" Platform:</w:t>
      </w:r>
      <w:r>
        <w:t xml:space="preserve"> </w:t>
      </w:r>
      <w:r>
        <w:t xml:space="preserve">A real-time compliance dashboard co-developed with Shanghai's Financial Regulatory Bureau. Projected to reduce sales cycle friction by 17% and capture an estimated $4.2M in untapped Pudong market share by Q2 2025.</w:t>
      </w:r>
    </w:p>
    <w:p>
      <w:pPr>
        <w:numPr>
          <w:ilvl w:val="0"/>
          <w:numId w:val="1003"/>
        </w:numPr>
        <w:pStyle w:val="Compact"/>
      </w:pPr>
      <w:r>
        <w:rPr>
          <w:bCs/>
          <w:b/>
        </w:rPr>
        <w:t xml:space="preserve">Implement AI-Powered Client Tiering:</w:t>
      </w:r>
      <w:r>
        <w:t xml:space="preserve"> </w:t>
      </w:r>
      <w:r>
        <w:t xml:space="preserve">Our Financial Analyst team's machine learning model predicts client growth potential with 89% accuracy. Applying this to Shanghai accounts will prioritize sales efforts toward high-growth sectors (fintech, EV supply chains) and increase win rates by 22%.</w:t>
      </w:r>
    </w:p>
    <w:p>
      <w:pPr>
        <w:numPr>
          <w:ilvl w:val="0"/>
          <w:numId w:val="1003"/>
        </w:numPr>
        <w:pStyle w:val="Compact"/>
      </w:pPr>
      <w:r>
        <w:rPr>
          <w:bCs/>
          <w:b/>
        </w:rPr>
        <w:t xml:space="preserve">Create Shanghai Sales Innovation Fund:</w:t>
      </w:r>
      <w:r>
        <w:t xml:space="preserve"> </w:t>
      </w:r>
      <w:r>
        <w:t xml:space="preserve">Allocate $1.5M from Q4 savings to co-invest with top-tier Shanghai fintech partners on joint solutions. Historical data shows such partnerships yield 3x higher customer lifetime value in our China operations.</w:t>
      </w:r>
    </w:p>
    <w:bookmarkEnd w:id="24"/>
    <w:bookmarkStart w:id="25" w:name="X6efc7304fd9a7eb964b0f45a82e40243b413907"/>
    <w:p>
      <w:pPr>
        <w:pStyle w:val="Heading2"/>
      </w:pPr>
      <w:r>
        <w:t xml:space="preserve">VI. The Financial Analyst's Strategic Role in China Shanghai</w:t>
      </w:r>
    </w:p>
    <w:p>
      <w:pPr>
        <w:pStyle w:val="FirstParagraph"/>
      </w:pPr>
      <w:r>
        <w:t xml:space="preserve">This report underscores the indispensable function of the Financial Analyst within Shanghai's commercial ecosystem. Unlike standard reporting roles, our analysts operate as strategic partners—embedding within sales teams to provide:</w:t>
      </w:r>
    </w:p>
    <w:p>
      <w:pPr>
        <w:numPr>
          <w:ilvl w:val="0"/>
          <w:numId w:val="1004"/>
        </w:numPr>
        <w:pStyle w:val="Compact"/>
      </w:pPr>
      <w:r>
        <w:t xml:space="preserve">Real-time market sentiment analysis using WeChat/Weibo social data</w:t>
      </w:r>
    </w:p>
    <w:p>
      <w:pPr>
        <w:numPr>
          <w:ilvl w:val="0"/>
          <w:numId w:val="1004"/>
        </w:numPr>
        <w:pStyle w:val="Compact"/>
      </w:pPr>
      <w:r>
        <w:t xml:space="preserve">Competitor pricing intelligence via Shanghai business registry databases</w:t>
      </w:r>
    </w:p>
    <w:p>
      <w:pPr>
        <w:numPr>
          <w:ilvl w:val="0"/>
          <w:numId w:val="1004"/>
        </w:numPr>
        <w:pStyle w:val="Compact"/>
      </w:pPr>
      <w:r>
        <w:t xml:space="preserve">Scenario modeling for regulatory changes (e.g., new cybersecurity laws)</w:t>
      </w:r>
    </w:p>
    <w:p>
      <w:pPr>
        <w:pStyle w:val="FirstParagraph"/>
      </w:pPr>
      <w:r>
        <w:t xml:space="preserve">The Financial Analyst team's work in China Shanghai has directly influenced our 2024 revenue target increase from $18.5M to $23.7M—a 29% upward revision driven by data-driven market insights.</w:t>
      </w:r>
    </w:p>
    <w:bookmarkEnd w:id="25"/>
    <w:bookmarkStart w:id="26" w:name="Xc1b0c518a6ae46c9bf3bafebc6b16e9309f0a38"/>
    <w:p>
      <w:pPr>
        <w:pStyle w:val="Heading2"/>
      </w:pPr>
      <w:r>
        <w:t xml:space="preserve">VII. Conclusion: Sustaining Momentum in China Shanghai</w:t>
      </w:r>
    </w:p>
    <w:p>
      <w:pPr>
        <w:pStyle w:val="FirstParagraph"/>
      </w:pPr>
      <w:r>
        <w:t xml:space="preserve">The Q3 Sales Report confirms that Shanghai remains our most valuable market, but success requires continuous adaptation to its unique rhythms. As the Financial Analyst team demonstrates through this comprehensive analysis, data isn't merely descriptive—it's prescriptive for sales strategy. Our recommendation is clear: double down on analytical capabilities within China Shanghai operations by expanding the Financial Analyst team by 40% in Q1 2025.</w:t>
      </w:r>
    </w:p>
    <w:p>
      <w:pPr>
        <w:pStyle w:val="BodyText"/>
      </w:pPr>
      <w:r>
        <w:t xml:space="preserve">Without this investment, we risk ceding market share to competitors who have already implemented similar analytics functions. The data is unequivocal: Companies with embedded Financial Analysts in Shanghai achieve 3.1x higher sales efficiency than those relying on traditional reporting models. This Sales Report isn't just a snapshot—it's a strategic blueprint for dominating China Shanghai's evolving financial landscape through intelligence-led growth.</w:t>
      </w:r>
    </w:p>
    <w:bookmarkEnd w:id="26"/>
    <w:bookmarkStart w:id="27" w:name="appendix-key-metrics-dashboard"/>
    <w:p>
      <w:pPr>
        <w:pStyle w:val="Heading2"/>
      </w:pPr>
      <w:r>
        <w:t xml:space="preserve">Appendix: Key Metrics Dashboard</w:t>
      </w:r>
    </w:p>
    <w:p>
      <w:pPr>
        <w:pStyle w:val="FirstParagraph"/>
      </w:pPr>
      <w:r>
        <w:t xml:space="preserve">Indicator</w:t>
      </w:r>
    </w:p>
    <w:p>
      <w:pPr>
        <w:pStyle w:val="BodyText"/>
      </w:pPr>
      <w:r>
        <w:t xml:space="preserve">Q3 2024</w:t>
      </w:r>
    </w:p>
    <w:p>
      <w:pPr>
        <w:pStyle w:val="BodyText"/>
      </w:pPr>
      <w:r>
        <w:t xml:space="preserve">% Change vs Q2</w:t>
      </w:r>
    </w:p>
    <w:p>
      <w:pPr>
        <w:pStyle w:val="BodyText"/>
      </w:pPr>
      <w:r>
        <w:t xml:space="preserve">% Change YoY (Shanghai)</w:t>
      </w:r>
    </w:p>
    <w:p>
      <w:pPr>
        <w:pStyle w:val="BodyText"/>
      </w:pPr>
      <w:r>
        <w:t xml:space="preserve">Total Revenue</w:t>
      </w:r>
    </w:p>
    <w:p>
      <w:pPr>
        <w:pStyle w:val="BodyText"/>
      </w:pPr>
      <w:r>
        <w:t xml:space="preserve">$6.8M</w:t>
      </w:r>
    </w:p>
    <w:p>
      <w:pPr>
        <w:pStyle w:val="BodyText"/>
      </w:pPr>
      <w:r>
        <w:t xml:space="preserve">+5.3%</w:t>
      </w:r>
    </w:p>
    <w:p>
      <w:pPr>
        <w:pStyle w:val="BodyText"/>
      </w:pPr>
      <w:r>
        <w:t xml:space="preserve">+14.7%</w:t>
      </w:r>
    </w:p>
    <w:p>
      <w:pPr>
        <w:pStyle w:val="BodyText"/>
      </w:pPr>
      <w:r>
        <w:t xml:space="preserve">Cloud Product Growth</w:t>
      </w:r>
    </w:p>
    <w:p>
      <w:pPr>
        <w:pStyle w:val="BodyText"/>
      </w:pPr>
      <w:r>
        <w:t xml:space="preserve">$2.9M</w:t>
      </w:r>
    </w:p>
    <w:p>
      <w:pPr>
        <w:pStyle w:val="BodyText"/>
      </w:pPr>
      <w:r>
        <w:t xml:space="preserve">+28.1%</w:t>
      </w:r>
    </w:p>
    <w:p>
      <w:pPr>
        <w:pStyle w:val="BodyText"/>
      </w:pPr>
      <w:r>
        <w:t xml:space="preserve">+42.0%</w:t>
      </w:r>
    </w:p>
    <w:p>
      <w:pPr>
        <w:pStyle w:val="BodyText"/>
      </w:pPr>
      <w:r>
        <w:t xml:space="preserve">New Client Acquisition</w:t>
      </w:r>
    </w:p>
    <w:p>
      <w:pPr>
        <w:pStyle w:val="BodyText"/>
      </w:pPr>
      <w:r>
        <w:t xml:space="preserve">47</w:t>
      </w:r>
    </w:p>
    <w:p>
      <w:pPr>
        <w:pStyle w:val="BodyText"/>
      </w:pPr>
      <w:r>
        <w:t xml:space="preserve">+16.7%</w:t>
      </w:r>
    </w:p>
    <w:p>
      <w:pPr>
        <w:pStyle w:val="BodyText"/>
      </w:pPr>
      <w:r>
        <w:t xml:space="preserve">32%</w:t>
      </w:r>
    </w:p>
    <w:p>
      <w:pPr>
        <w:pStyle w:val="BodyText"/>
      </w:pPr>
      <w:r>
        <w:t xml:space="preserve">Source: China Shanghai Financial Analyst Team - Real-Time Data Integration System (Q3 2024)</w:t>
      </w:r>
    </w:p>
    <w:p>
      <w:pPr>
        <w:pStyle w:val="BodyText"/>
      </w:pPr>
      <w:r>
        <w:rPr>
          <w:iCs/>
          <w:i/>
        </w:rPr>
        <w:t xml:space="preserve">Disclaimer: This Sales Report incorporates insights from the China Shanghai Financial Analyst team's proprietary market intelligence platform. All data is validated against Shanghai Municipal Bureau of Statistics and Pudong New District Economic Development Council 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Financial Analyst Insights for China Shanghai</dc:title>
  <dc:creator/>
  <dc:language>en</dc:language>
  <cp:keywords/>
  <dcterms:created xsi:type="dcterms:W3CDTF">2026-07-23T13:30:24Z</dcterms:created>
  <dcterms:modified xsi:type="dcterms:W3CDTF">2026-07-23T13:30:24Z</dcterms:modified>
</cp:coreProperties>
</file>

<file path=docProps/custom.xml><?xml version="1.0" encoding="utf-8"?>
<Properties xmlns="http://schemas.openxmlformats.org/officeDocument/2006/custom-properties" xmlns:vt="http://schemas.openxmlformats.org/officeDocument/2006/docPropsVTypes"/>
</file>