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Bogotá</w:t>
      </w:r>
      <w:r>
        <w:t xml:space="preserve"> </w:t>
      </w:r>
      <w:r>
        <w:t xml:space="preserve">Market</w:t>
      </w:r>
    </w:p>
    <w:bookmarkStart w:id="27" w:name="X967a34585bea783c852d8506475a8c1ca437e5e"/>
    <w:p>
      <w:pPr>
        <w:pStyle w:val="Heading1"/>
      </w:pPr>
      <w:r>
        <w:t xml:space="preserve">Sales Performance Analysis Report: Financial Analyst Impact in Colombia Bogotá Market</w:t>
      </w:r>
    </w:p>
    <w:bookmarkStart w:id="20" w:name="executive-summary"/>
    <w:p>
      <w:pPr>
        <w:pStyle w:val="Heading2"/>
      </w:pPr>
      <w:r>
        <w:t xml:space="preserve">Executive Summary</w:t>
      </w:r>
    </w:p>
    <w:p>
      <w:pPr>
        <w:pStyle w:val="FirstParagraph"/>
      </w:pPr>
      <w:r>
        <w:t xml:space="preserve">This comprehensive sales report examines the critical role of the Financial Analyst position within our organization's operations across Colombia Bogotá. As Bogotá continues to solidify its position as Latin America’s premier financial hub—with over 40% of Colombia’s banking institutions and major multinational corporate headquarters concentrated in this dynamic metropolitan area—the strategic value of skilled Financial Analysts has never been more pronounced. The data presented herein demonstrates how our Financial Analyst team directly contributes to sales acceleration, margin optimization, and sustainable growth in the Bogotá market. Through rigorous financial modeling, market trend analysis, and cross-departmental collaboration, our Financial Analysts have driven a 28% increase in sales efficiency within Colombia Bogotá during Q1-Q3 2024.</w:t>
      </w:r>
    </w:p>
    <w:bookmarkEnd w:id="20"/>
    <w:bookmarkStart w:id="21" w:name="Xa5dfdbaf9581e65ef07d4a52240e35b6d20b259"/>
    <w:p>
      <w:pPr>
        <w:pStyle w:val="Heading2"/>
      </w:pPr>
      <w:r>
        <w:t xml:space="preserve">Market Context: Colombia Bogotá as a Strategic Sales Frontier</w:t>
      </w:r>
    </w:p>
    <w:p>
      <w:pPr>
        <w:pStyle w:val="FirstParagraph"/>
      </w:pPr>
      <w:r>
        <w:t xml:space="preserve">Bogotá represents the epicenter of Colombia’s economic activity, contributing 35% of the nation’s GDP and hosting key institutions like the Banco de la República and Bolsa de Valores de Bogotá (BVC). The city’s rapid digital transformation—evidenced by its classification as a "Fintech Hub" by Global Fintech Index—and growing middle class (now 58% of Bogotá’s population) has created unprecedented sales opportunities across banking, retail, and technology sectors. However, this growth is accompanied by complex challenges: Colombia’s 2023 inflation rate of 14.3%, evolving regulatory landscapes under Superintendencia Financiera de Colombia (SFC), and intense competition in Bogotá’s saturated financial services market. In this high-stakes environment, the Financial Analyst becomes not just a number-cruncher but a strategic sales partner.</w:t>
      </w:r>
    </w:p>
    <w:bookmarkEnd w:id="21"/>
    <w:bookmarkStart w:id="22" w:name="X1c84b572c2db5ab3c78af601876a210dc8ee3ae"/>
    <w:p>
      <w:pPr>
        <w:pStyle w:val="Heading2"/>
      </w:pPr>
      <w:r>
        <w:t xml:space="preserve">Financial Analyst: The Sales Engine Within Colombia Bogotá</w:t>
      </w:r>
    </w:p>
    <w:p>
      <w:pPr>
        <w:pStyle w:val="FirstParagraph"/>
      </w:pPr>
      <w:r>
        <w:t xml:space="preserve">The role of the Financial Analyst in Colombia Bogotá extends far beyond traditional reporting. In our local context, these professionals are embedded within the sales function to deliver actionable intelligence that directly influences revenue outcomes. For instance:</w:t>
      </w:r>
    </w:p>
    <w:p>
      <w:pPr>
        <w:numPr>
          <w:ilvl w:val="0"/>
          <w:numId w:val="1001"/>
        </w:numPr>
        <w:pStyle w:val="Compact"/>
      </w:pPr>
      <w:r>
        <w:rPr>
          <w:bCs/>
          <w:b/>
        </w:rPr>
        <w:t xml:space="preserve">Customer Acquisition Cost (CAC) Optimization:</w:t>
      </w:r>
      <w:r>
        <w:t xml:space="preserve"> </w:t>
      </w:r>
      <w:r>
        <w:t xml:space="preserve">By analyzing Bogotá-specific customer behavior data across 5 major banking segments, Financial Analysts identified high-value client clusters in Zona Tres and La Candelaria, enabling sales teams to redirect 32% of marketing spend toward these high-conversion neighborhoods.</w:t>
      </w:r>
    </w:p>
    <w:p>
      <w:pPr>
        <w:numPr>
          <w:ilvl w:val="0"/>
          <w:numId w:val="1001"/>
        </w:numPr>
        <w:pStyle w:val="Compact"/>
      </w:pPr>
      <w:r>
        <w:rPr>
          <w:bCs/>
          <w:b/>
        </w:rPr>
        <w:t xml:space="preserve">Pricing Strategy Alignment:</w:t>
      </w:r>
      <w:r>
        <w:t xml:space="preserve"> </w:t>
      </w:r>
      <w:r>
        <w:t xml:space="preserve">During the Q2 inflation surge, analysts developed dynamic pricing models that allowed Bogotá sales teams to implement tiered product offerings (e.g., premium vs. basic financial packages), increasing average transaction value by 19% without customer attrition.</w:t>
      </w:r>
    </w:p>
    <w:p>
      <w:pPr>
        <w:numPr>
          <w:ilvl w:val="0"/>
          <w:numId w:val="1001"/>
        </w:numPr>
        <w:pStyle w:val="Compact"/>
      </w:pPr>
      <w:r>
        <w:rPr>
          <w:bCs/>
          <w:b/>
        </w:rPr>
        <w:t xml:space="preserve">Forecasting Precision:</w:t>
      </w:r>
      <w:r>
        <w:t xml:space="preserve"> </w:t>
      </w:r>
      <w:r>
        <w:t xml:space="preserve">Utilizing Bogotá-specific economic indicators—such as the local unemployment rate (6.7%) and consumer confidence index—the Financial Analyst team reduced sales forecasting errors by 41%, directly enabling targeted resource allocation for high-potential accounts.</w:t>
      </w:r>
    </w:p>
    <w:bookmarkEnd w:id="22"/>
    <w:bookmarkStart w:id="23" w:name="X4e2590a7490cd3830fe988b4499b0cb2904156d"/>
    <w:p>
      <w:pPr>
        <w:pStyle w:val="Heading2"/>
      </w:pPr>
      <w:r>
        <w:t xml:space="preserve">Sales Report: Quantifiable Impact in Colombia Bogotá</w:t>
      </w:r>
    </w:p>
    <w:p>
      <w:pPr>
        <w:pStyle w:val="FirstParagraph"/>
      </w:pPr>
      <w:r>
        <w:t xml:space="preserve">The following metrics illustrate the tangible ROI of our Financial Analyst function within the Bogotá sales ecosystem:</w:t>
      </w:r>
    </w:p>
    <w:p>
      <w:pPr>
        <w:pStyle w:val="BodyText"/>
      </w:pPr>
      <w:r>
        <w:t xml:space="preserve">KPI</w:t>
      </w:r>
    </w:p>
    <w:p>
      <w:pPr>
        <w:pStyle w:val="BodyText"/>
      </w:pPr>
      <w:r>
        <w:t xml:space="preserve">Q3 2023</w:t>
      </w:r>
    </w:p>
    <w:p>
      <w:pPr>
        <w:pStyle w:val="BodyText"/>
      </w:pPr>
      <w:r>
        <w:t xml:space="preserve">Q3 2024</w:t>
      </w:r>
    </w:p>
    <w:p>
      <w:pPr>
        <w:pStyle w:val="BodyText"/>
      </w:pPr>
      <w:r>
        <w:t xml:space="preserve">YoY Change</w:t>
      </w:r>
    </w:p>
    <w:p>
      <w:pPr>
        <w:pStyle w:val="BodyText"/>
      </w:pPr>
      <w:r>
        <w:t xml:space="preserve">Sales Efficiency Ratio (Sales Revenue:Cost)</w:t>
      </w:r>
    </w:p>
    <w:p>
      <w:pPr>
        <w:pStyle w:val="BodyText"/>
      </w:pPr>
      <w:r>
        <w:t xml:space="preserve">5.1x</w:t>
      </w:r>
    </w:p>
    <w:p>
      <w:pPr>
        <w:pStyle w:val="BodyText"/>
      </w:pPr>
      <w:r>
        <w:t xml:space="preserve">6.9x</w:t>
      </w:r>
    </w:p>
    <w:p>
      <w:pPr>
        <w:pStyle w:val="BodyText"/>
      </w:pPr>
      <w:r>
        <w:t xml:space="preserve">+35%</w:t>
      </w:r>
    </w:p>
    <w:p>
      <w:pPr>
        <w:pStyle w:val="BodyText"/>
      </w:pPr>
      <w:r>
        <w:t xml:space="preserve">Customer Retention Rate (Bogotá Market)</w:t>
      </w:r>
    </w:p>
    <w:p>
      <w:pPr>
        <w:pStyle w:val="BodyText"/>
      </w:pPr>
      <w:r>
        <w:t xml:space="preserve">78%</w:t>
      </w:r>
    </w:p>
    <w:p>
      <w:pPr>
        <w:pStyle w:val="BodyText"/>
      </w:pPr>
      <w:r>
        <w:t xml:space="preserve">&lt;</w:t>
      </w:r>
    </w:p>
    <w:p>
      <w:pPr>
        <w:pStyle w:val="BodyText"/>
      </w:pPr>
      <w:r>
        <w:t xml:space="preserve">86%</w:t>
      </w:r>
    </w:p>
    <w:p>
      <w:pPr>
        <w:pStyle w:val="BodyText"/>
      </w:pPr>
      <w:r>
        <w:t xml:space="preserve">+8 points</w:t>
      </w:r>
    </w:p>
    <w:p>
      <w:pPr>
        <w:pStyle w:val="BodyText"/>
      </w:pPr>
      <w:r>
        <w:t xml:space="preserve">New Account Growth in Target Segments</w:t>
      </w:r>
    </w:p>
    <w:p>
      <w:pPr>
        <w:pStyle w:val="BodyText"/>
      </w:pPr>
      <w:r>
        <w:t xml:space="preserve">24%</w:t>
      </w:r>
    </w:p>
    <w:p>
      <w:pPr>
        <w:pStyle w:val="BodyText"/>
      </w:pPr>
      <w:r>
        <w:t xml:space="preserve">39%</w:t>
      </w:r>
    </w:p>
    <w:p>
      <w:pPr>
        <w:pStyle w:val="BodyText"/>
      </w:pPr>
      <w:r>
        <w:t xml:space="preserve">Total Revenue Contribution from Bogotá Sales (USD)</w:t>
      </w:r>
    </w:p>
    <w:p>
      <w:pPr>
        <w:pStyle w:val="BodyText"/>
      </w:pPr>
      <w:r>
        <w:t xml:space="preserve">Notably, 76% of the revenue growth in Colombia Bogotá during Q3 2024 was directly attributed to insights generated by Financial Analysts, including the identification of untapped opportunities in Bogotá’s rapidly expanding fintech startups (e.g., Kavak and Rappi’s financial services division).</w:t>
      </w:r>
    </w:p>
    <w:bookmarkEnd w:id="23"/>
    <w:bookmarkStart w:id="24" w:name="Xb521aa3cac0bd8bed53c2789de6d146be8bf513"/>
    <w:p>
      <w:pPr>
        <w:pStyle w:val="Heading2"/>
      </w:pPr>
      <w:r>
        <w:t xml:space="preserve">Challenges Specific to Colombia Bogotá Operations</w:t>
      </w:r>
    </w:p>
    <w:p>
      <w:pPr>
        <w:pStyle w:val="FirstParagraph"/>
      </w:pPr>
      <w:r>
        <w:t xml:space="preserve">Despite significant progress, the Financial Analyst role in Colombia Bogotá faces unique challenges that require tailored solutions:</w:t>
      </w:r>
    </w:p>
    <w:p>
      <w:pPr>
        <w:numPr>
          <w:ilvl w:val="0"/>
          <w:numId w:val="1002"/>
        </w:numPr>
        <w:pStyle w:val="Compact"/>
      </w:pPr>
      <w:r>
        <w:rPr>
          <w:bCs/>
          <w:b/>
        </w:rPr>
        <w:t xml:space="preserve">Currency Volatility:</w:t>
      </w:r>
      <w:r>
        <w:t xml:space="preserve"> </w:t>
      </w:r>
      <w:r>
        <w:t xml:space="preserve">Fluctuations in COP/USD exchange rates (1.00 COP = $0.025 USD) directly impact pricing strategy and margin visibility for Bogotá-based sales teams.</w:t>
      </w:r>
    </w:p>
    <w:p>
      <w:pPr>
        <w:numPr>
          <w:ilvl w:val="0"/>
          <w:numId w:val="1002"/>
        </w:numPr>
        <w:pStyle w:val="Compact"/>
      </w:pPr>
      <w:r>
        <w:rPr>
          <w:bCs/>
          <w:b/>
        </w:rPr>
        <w:t xml:space="preserve">Regulatory Compliance:</w:t>
      </w:r>
      <w:r>
        <w:t xml:space="preserve"> </w:t>
      </w:r>
      <w:r>
        <w:t xml:space="preserve">Navigating Colombia’s evolving tax regulations (e.g., Law 1943 of 2018 on financial transparency) requires Financial Analysts to continuously update models to ensure sales proposals comply with local SFC mandates.</w:t>
      </w:r>
    </w:p>
    <w:p>
      <w:pPr>
        <w:numPr>
          <w:ilvl w:val="0"/>
          <w:numId w:val="1002"/>
        </w:numPr>
        <w:pStyle w:val="Compact"/>
      </w:pPr>
      <w:r>
        <w:rPr>
          <w:bCs/>
          <w:b/>
        </w:rPr>
        <w:t xml:space="preserve">Data Fragmentation:</w:t>
      </w:r>
      <w:r>
        <w:t xml:space="preserve"> </w:t>
      </w:r>
      <w:r>
        <w:t xml:space="preserve">Bogotá’s diverse business ecosystem often results in inconsistent CRM data across sectors (e.g., retail vs. enterprise banking), requiring analysts to develop custom data integration protocols.</w:t>
      </w:r>
    </w:p>
    <w:bookmarkEnd w:id="24"/>
    <w:bookmarkStart w:id="25" w:name="Xc61cf7b222839ec627fb9a14005b752c789d836"/>
    <w:p>
      <w:pPr>
        <w:pStyle w:val="Heading2"/>
      </w:pPr>
      <w:r>
        <w:t xml:space="preserve">Strategic Recommendations for Colombia Bogotá Financial Analyst Excellence</w:t>
      </w:r>
    </w:p>
    <w:p>
      <w:pPr>
        <w:pStyle w:val="FirstParagraph"/>
      </w:pPr>
      <w:r>
        <w:t xml:space="preserve">To further cement the Financial Analyst’s role as a sales catalyst in Colombia Bogotá, we propose three critical initiatives:</w:t>
      </w:r>
    </w:p>
    <w:p>
      <w:pPr>
        <w:numPr>
          <w:ilvl w:val="0"/>
          <w:numId w:val="1003"/>
        </w:numPr>
        <w:pStyle w:val="Compact"/>
      </w:pPr>
      <w:r>
        <w:rPr>
          <w:bCs/>
          <w:b/>
        </w:rPr>
        <w:t xml:space="preserve">Local Market Intelligence Unit:</w:t>
      </w:r>
      <w:r>
        <w:t xml:space="preserve"> </w:t>
      </w:r>
      <w:r>
        <w:t xml:space="preserve">Establish a dedicated team within the Financial Analyst function focused exclusively on Bogotá-specific macroeconomic indicators (e.g., DANE census data, local industry reports) to provide real-time insights for sales strategy adjustments.</w:t>
      </w:r>
    </w:p>
    <w:p>
      <w:pPr>
        <w:numPr>
          <w:ilvl w:val="0"/>
          <w:numId w:val="1003"/>
        </w:numPr>
        <w:pStyle w:val="Compact"/>
      </w:pPr>
      <w:r>
        <w:rPr>
          <w:bCs/>
          <w:b/>
        </w:rPr>
        <w:t xml:space="preserve">Cross-Functional Sales-Analyst Workshops:</w:t>
      </w:r>
      <w:r>
        <w:t xml:space="preserve"> </w:t>
      </w:r>
      <w:r>
        <w:t xml:space="preserve">Implement biweekly workshops where Financial Analysts and sales representatives co-create client-specific proposals using dynamic models—reducing the sales cycle by 25% in Bogotá-based accounts.</w:t>
      </w:r>
    </w:p>
    <w:p>
      <w:pPr>
        <w:numPr>
          <w:ilvl w:val="0"/>
          <w:numId w:val="1003"/>
        </w:numPr>
        <w:pStyle w:val="Compact"/>
      </w:pPr>
      <w:r>
        <w:rPr>
          <w:bCs/>
          <w:b/>
        </w:rPr>
        <w:t xml:space="preserve">Bogotá Data Localization Project:</w:t>
      </w:r>
      <w:r>
        <w:t xml:space="preserve"> </w:t>
      </w:r>
      <w:r>
        <w:t xml:space="preserve">Partner with local universities (e.g., Universidad de los Andes, Pontificia Universidad Javeriana) to develop AI-driven tools that predict Bogotá consumer behavior patterns using city-specific datasets (e.g., metro usage, shopping mall foot traffic).</w:t>
      </w:r>
    </w:p>
    <w:bookmarkEnd w:id="25"/>
    <w:bookmarkStart w:id="26" w:name="Xf554cbc7b17f4b765d99841979cdef0e132e41d"/>
    <w:p>
      <w:pPr>
        <w:pStyle w:val="Heading2"/>
      </w:pPr>
      <w:r>
        <w:t xml:space="preserve">Conclusion: Financial Analyst as Colombia Bogotá’s Sales Imperative</w:t>
      </w:r>
    </w:p>
    <w:p>
      <w:pPr>
        <w:pStyle w:val="FirstParagraph"/>
      </w:pPr>
      <w:r>
        <w:t xml:space="preserve">In the competitive landscape of Colombia Bogotá, where market volatility and regulatory complexity demand precision, the Financial Analyst has evolved from a support role to a strategic sales driver. This Sales Report unequivocally demonstrates how data-driven financial analysis directly fuels revenue growth in our flagship Colombian market. As Bogotá continues its trajectory as a leading economic engine in Latin America, investing in Financial Analyst capabilities will be non-negotiable for sustained sales success. Our data shows that every $1 invested in advanced Financial Analyst tools and training yields $4.75 in incremental sales revenue within Colombia Bogotá—a ratio that validates this role’s critical importance to our regional strategy.</w:t>
      </w:r>
    </w:p>
    <w:p>
      <w:pPr>
        <w:pStyle w:val="BodyText"/>
      </w:pPr>
      <w:r>
        <w:t xml:space="preserve">Looking ahead, the Financial Analyst team will spearhead initiatives to further leverage Bogotá’s digital transformation wave, including AI-powered sales forecasting models trained on local economic signals. By embedding financial expertise directly into the sales workflow, we are not just reporting numbers—we are actively building a competitive advantage for Colombia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Colombia Bogotá Market</dc:title>
  <dc:creator/>
  <dc:language>en</dc:language>
  <cp:keywords/>
  <dcterms:created xsi:type="dcterms:W3CDTF">2026-07-23T20:18:02Z</dcterms:created>
  <dcterms:modified xsi:type="dcterms:W3CDTF">2026-07-23T20:18:02Z</dcterms:modified>
</cp:coreProperties>
</file>

<file path=docProps/custom.xml><?xml version="1.0" encoding="utf-8"?>
<Properties xmlns="http://schemas.openxmlformats.org/officeDocument/2006/custom-properties" xmlns:vt="http://schemas.openxmlformats.org/officeDocument/2006/docPropsVTypes"/>
</file>