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0" w:name="Xf3b8b705e3bfd841ac1c04074a1404ac8eebc91"/>
    <w:p>
      <w:pPr>
        <w:pStyle w:val="Heading1"/>
      </w:pPr>
      <w:r>
        <w:t xml:space="preserve">FINANCIAL ANALYST SALES PERFORMANCE REPORT</w:t>
      </w:r>
      <w:r>
        <w:br/>
      </w:r>
      <w:r>
        <w:t xml:space="preserve">ADDIS ABABA, ETHIOPIA - Q3 2024</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Purpose:</w:t>
      </w:r>
      <w:r>
        <w:t xml:space="preserve"> </w:t>
      </w:r>
      <w:r>
        <w:t xml:space="preserve">Strategic Sales Performance Review</w:t>
      </w:r>
    </w:p>
    <w:bookmarkEnd w:id="20"/>
    <w:bookmarkStart w:id="21" w:name="X5db85ac7b26179f6f8ddcf0c85b14733ef02a96"/>
    <w:p>
      <w:pPr>
        <w:pStyle w:val="Heading2"/>
      </w:pPr>
      <w:r>
        <w:t xml:space="preserve">Executive Summary: Strategic Sales Position in Addis Ababa</w:t>
      </w:r>
    </w:p>
    <w:p>
      <w:pPr>
        <w:pStyle w:val="FirstParagraph"/>
      </w:pPr>
      <w:r>
        <w:t xml:space="preserve">This comprehensive sales report details the performance metrics and strategic insights for our financial services division operating within Ethiopia's premier economic hub, Addis Ababa. As Financial Analysts responsible for driving data-driven sales decisions across the Ethiopian market, we have conducted an in-depth analysis of Q3 2024 performance. The findings reveal a 17.3% year-over-year growth in sales revenue from Addis Ababa operations, significantly outpacing the national average of 9.8%. This success is directly attributable to our Financial Analyst team's proactive market intelligence, localized pricing strategies, and real-time financial forecasting tailored to Ethiopia's unique economic landscape.</w:t>
      </w:r>
    </w:p>
    <w:p>
      <w:pPr>
        <w:pStyle w:val="BodyText"/>
      </w:pPr>
      <w:r>
        <w:rPr>
          <w:bCs/>
          <w:b/>
        </w:rPr>
        <w:t xml:space="preserve">Key Insight:</w:t>
      </w:r>
      <w:r>
        <w:t xml:space="preserve"> </w:t>
      </w:r>
      <w:r>
        <w:t xml:space="preserve">Our Financial Analyst team's integration of Ethiopia-specific macroeconomic indicators (including the Ethiopian Birr exchange rate volatility and CBE monetary policy shifts) has been instrumental in achieving Addis Ababa's 17.3% sales growth during Q3 2024.</w:t>
      </w:r>
    </w:p>
    <w:bookmarkEnd w:id="21"/>
    <w:bookmarkStart w:id="22" w:name="X95e709b6c1069baf0aa3330cfd0fa2546f14e30"/>
    <w:p>
      <w:pPr>
        <w:pStyle w:val="Heading2"/>
      </w:pPr>
      <w:r>
        <w:t xml:space="preserve">Market Context: Addis Ababa's Economic Landscape</w:t>
      </w:r>
    </w:p>
    <w:p>
      <w:pPr>
        <w:pStyle w:val="FirstParagraph"/>
      </w:pPr>
      <w:r>
        <w:t xml:space="preserve">Addis Ababa continues to serve as Ethiopia's undisputed commercial and financial epicenter, contributing approximately 45% of the nation's GDP. The city hosts over 68% of Ethiopia's multinational corporations and banking institutions, creating a dynamic environment where our Financial Analysts must navigate complex local regulations while leveraging global best practices. Recent infrastructure developments like the Addis Ababa Light Rail Transit and the ongoing construction of the Grand Ethiopian Renaissance Dam have significantly boosted business confidence in the region.</w:t>
      </w:r>
    </w:p>
    <w:bookmarkEnd w:id="22"/>
    <w:bookmarkStart w:id="23" w:name="X52a56c254bec52887543e7218022069e292f231"/>
    <w:p>
      <w:pPr>
        <w:pStyle w:val="Heading2"/>
      </w:pPr>
      <w:r>
        <w:t xml:space="preserve">Q3 2024 Sales Performance: Key Metrics Analysis</w:t>
      </w:r>
    </w:p>
    <w:p>
      <w:pPr>
        <w:pStyle w:val="FirstParagraph"/>
      </w:pPr>
      <w:r>
        <w:t xml:space="preserve">Performance Indicator</w:t>
      </w:r>
    </w:p>
    <w:p>
      <w:pPr>
        <w:pStyle w:val="BodyText"/>
      </w:pPr>
      <w:r>
        <w:t xml:space="preserve">Q3 2024 (Addis Ababa)</w:t>
      </w:r>
    </w:p>
    <w:p>
      <w:pPr>
        <w:pStyle w:val="BodyText"/>
      </w:pPr>
      <w:r>
        <w:t xml:space="preserve">Q3 2023</w:t>
      </w:r>
    </w:p>
    <w:p>
      <w:pPr>
        <w:pStyle w:val="BodyText"/>
      </w:pPr>
      <w:r>
        <w:t xml:space="preserve">YoY Change</w:t>
      </w:r>
    </w:p>
    <w:p>
      <w:pPr>
        <w:pStyle w:val="BodyText"/>
      </w:pPr>
      <w:r>
        <w:t xml:space="preserve">National Average (Ethiopia)</w:t>
      </w:r>
    </w:p>
    <w:p>
      <w:pPr>
        <w:pStyle w:val="BodyText"/>
      </w:pPr>
      <w:r>
        <w:t xml:space="preserve">Sales Revenue (ETB)</w:t>
      </w:r>
    </w:p>
    <w:p>
      <w:pPr>
        <w:pStyle w:val="BodyText"/>
      </w:pPr>
      <w:r>
        <w:t xml:space="preserve">148.7M</w:t>
      </w:r>
    </w:p>
    <w:p>
      <w:pPr>
        <w:pStyle w:val="BodyText"/>
      </w:pPr>
      <w:r>
        <w:t xml:space="preserve">126.8M</w:t>
      </w:r>
    </w:p>
    <w:p>
      <w:pPr>
        <w:pStyle w:val="BodyText"/>
      </w:pPr>
      <w:r>
        <w:t xml:space="preserve">+17.3%</w:t>
      </w:r>
    </w:p>
    <w:p>
      <w:pPr>
        <w:pStyle w:val="BodyText"/>
      </w:pPr>
      <w:r>
        <w:t xml:space="preserve">9.8%</w:t>
      </w:r>
    </w:p>
    <w:p>
      <w:pPr>
        <w:pStyle w:val="BodyText"/>
      </w:pPr>
      <w:r>
        <w:t xml:space="preserve">New Client Acquisition Rate</w:t>
      </w:r>
    </w:p>
    <w:p>
      <w:pPr>
        <w:pStyle w:val="BodyText"/>
      </w:pPr>
      <w:r>
        <w:t xml:space="preserve">24.6%18.2%</w:t>
      </w:r>
    </w:p>
    <w:p>
      <w:pPr>
        <w:pStyle w:val="BodyText"/>
      </w:pPr>
      <w:r>
        <w:t xml:space="preserve">+6.4 pts</w:t>
      </w:r>
    </w:p>
    <w:p>
      <w:pPr>
        <w:pStyle w:val="BodyText"/>
      </w:pPr>
      <w:r>
        <w:t xml:space="preserve">12.5%</w:t>
      </w:r>
    </w:p>
    <w:p>
      <w:pPr>
        <w:pStyle w:val="BodyText"/>
      </w:pPr>
      <w:r>
        <w:t xml:space="preserve">Cross-Sell Success Rate</w:t>
      </w:r>
    </w:p>
    <w:p>
      <w:pPr>
        <w:pStyle w:val="BodyText"/>
      </w:pPr>
      <w:r>
        <w:t xml:space="preserve">37.1%</w:t>
      </w:r>
    </w:p>
    <w:p>
      <w:pPr>
        <w:pStyle w:val="BodyText"/>
      </w:pPr>
      <w:r>
        <w:t xml:space="preserve">30.5%</w:t>
      </w:r>
    </w:p>
    <w:p>
      <w:pPr>
        <w:pStyle w:val="BodyText"/>
      </w:pPr>
      <w:r>
        <w:t xml:space="preserve">+6.6 pts</w:t>
      </w:r>
    </w:p>
    <w:p>
      <w:pPr>
        <w:pStyle w:val="BodyText"/>
      </w:pPr>
      <w:r>
        <w:t xml:space="preserve">22.4%</w:t>
      </w:r>
    </w:p>
    <w:p>
      <w:pPr>
        <w:pStyle w:val="BodyText"/>
      </w:pPr>
      <w:r>
        <w:t xml:space="preserve">Profit Margin Performance (Addis Ababa vs National)</w:t>
      </w:r>
    </w:p>
    <w:p>
      <w:pPr>
        <w:pStyle w:val="BodyText"/>
      </w:pPr>
      <w:r>
        <w:t xml:space="preserve">Financial Analysts identified that Addis Ababa's 38% margin exceeds national average of 31% due to optimized service packages aligned with Ethiopian business needs.</w:t>
      </w:r>
    </w:p>
    <w:bookmarkEnd w:id="23"/>
    <w:bookmarkStart w:id="24" w:name="X5627554bf78c07efb933562e9cc0da83390fd57"/>
    <w:p>
      <w:pPr>
        <w:pStyle w:val="Heading2"/>
      </w:pPr>
      <w:r>
        <w:t xml:space="preserve">The Critical Role of Financial Analysts in Addis Ababa's Sales Success</w:t>
      </w:r>
    </w:p>
    <w:p>
      <w:pPr>
        <w:pStyle w:val="FirstParagraph"/>
      </w:pPr>
      <w:r>
        <w:t xml:space="preserve">Our Financial Analysts have moved beyond traditional reporting to become strategic partners in sales execution across Ethiopia. In the Addis Ababa market, they perform three critical functions:</w:t>
      </w:r>
    </w:p>
    <w:p>
      <w:pPr>
        <w:numPr>
          <w:ilvl w:val="0"/>
          <w:numId w:val="1001"/>
        </w:numPr>
        <w:pStyle w:val="Compact"/>
      </w:pPr>
      <w:r>
        <w:rPr>
          <w:bCs/>
          <w:b/>
        </w:rPr>
        <w:t xml:space="preserve">Localized Pricing Optimization:</w:t>
      </w:r>
      <w:r>
        <w:t xml:space="preserve"> </w:t>
      </w:r>
      <w:r>
        <w:t xml:space="preserve">Adjusting service packages based on Ethiopia's unique purchasing power parity (PPP) indicators and SME tax incentives in Addis Ababa industrial zones</w:t>
      </w:r>
    </w:p>
    <w:p>
      <w:pPr>
        <w:numPr>
          <w:ilvl w:val="0"/>
          <w:numId w:val="1001"/>
        </w:numPr>
        <w:pStyle w:val="Compact"/>
      </w:pPr>
      <w:r>
        <w:rPr>
          <w:bCs/>
          <w:b/>
        </w:rPr>
        <w:t xml:space="preserve">Risk-Adjusted Sales Forecasting:</w:t>
      </w:r>
      <w:r>
        <w:t xml:space="preserve"> </w:t>
      </w:r>
      <w:r>
        <w:t xml:space="preserve">Integrating CBE interest rate changes and currency volatility into sales pipeline projections for Ethiopian clients</w:t>
      </w:r>
    </w:p>
    <w:p>
      <w:pPr>
        <w:numPr>
          <w:ilvl w:val="0"/>
          <w:numId w:val="1001"/>
        </w:numPr>
        <w:pStyle w:val="Compact"/>
      </w:pPr>
      <w:r>
        <w:rPr>
          <w:bCs/>
          <w:b/>
        </w:rPr>
        <w:t xml:space="preserve">Competitive Landscape Intelligence:</w:t>
      </w:r>
      <w:r>
        <w:t xml:space="preserve"> </w:t>
      </w:r>
      <w:r>
        <w:t xml:space="preserve">Tracking market share shifts among competitors like Commercial Bank of Ethiopia and Dashen Bank in Addis Ababa's financial district</w:t>
      </w:r>
    </w:p>
    <w:p>
      <w:pPr>
        <w:pStyle w:val="FirstParagraph"/>
      </w:pPr>
      <w:r>
        <w:rPr>
          <w:bCs/>
          <w:b/>
        </w:rPr>
        <w:t xml:space="preserve">Ethiopia-Specific Insight:</w:t>
      </w:r>
      <w:r>
        <w:t xml:space="preserve"> </w:t>
      </w:r>
      <w:r>
        <w:t xml:space="preserve">Our Financial Analysts developed a custom "Addis Ababa Market Resilience Index" that correlates Ethiopian government spending cycles with client acquisition patterns, improving forecast accuracy by 28% compared to global benchmarks.</w:t>
      </w:r>
    </w:p>
    <w:bookmarkEnd w:id="24"/>
    <w:bookmarkStart w:id="25" w:name="X8f82d06159cf104efa589f64ac8d295105c297c"/>
    <w:p>
      <w:pPr>
        <w:pStyle w:val="Heading2"/>
      </w:pPr>
      <w:r>
        <w:t xml:space="preserve">Challenges Faced by Financial Analysts in Addis Ababa</w:t>
      </w:r>
    </w:p>
    <w:p>
      <w:pPr>
        <w:pStyle w:val="FirstParagraph"/>
      </w:pPr>
      <w:r>
        <w:t xml:space="preserve">Operating within Ethiopia's evolving business environment presents unique challenges for our Financial Analyst team:</w:t>
      </w:r>
    </w:p>
    <w:p>
      <w:pPr>
        <w:numPr>
          <w:ilvl w:val="0"/>
          <w:numId w:val="1002"/>
        </w:numPr>
        <w:pStyle w:val="Compact"/>
      </w:pPr>
      <w:r>
        <w:rPr>
          <w:bCs/>
          <w:b/>
        </w:rPr>
        <w:t xml:space="preserve">Data Accessibility:</w:t>
      </w:r>
      <w:r>
        <w:t xml:space="preserve"> </w:t>
      </w:r>
      <w:r>
        <w:t xml:space="preserve">Limited real-time financial data from Ethiopian government sources requires analysts to build custom predictive models using alternative datasets (e.g., customs records, electricity consumption patterns)</w:t>
      </w:r>
    </w:p>
    <w:p>
      <w:pPr>
        <w:numPr>
          <w:ilvl w:val="0"/>
          <w:numId w:val="1002"/>
        </w:numPr>
        <w:pStyle w:val="Compact"/>
      </w:pPr>
      <w:r>
        <w:rPr>
          <w:bCs/>
          <w:b/>
        </w:rPr>
        <w:t xml:space="preserve">Currency Volatility:</w:t>
      </w:r>
      <w:r>
        <w:t xml:space="preserve"> </w:t>
      </w:r>
      <w:r>
        <w:t xml:space="preserve">The Ethiopian Birr's 12.7% annual depreciation against major currencies necessitates daily reforecasting of client contracts</w:t>
      </w:r>
    </w:p>
    <w:p>
      <w:pPr>
        <w:numPr>
          <w:ilvl w:val="0"/>
          <w:numId w:val="1002"/>
        </w:numPr>
        <w:pStyle w:val="Compact"/>
      </w:pPr>
      <w:r>
        <w:rPr>
          <w:bCs/>
          <w:b/>
        </w:rPr>
        <w:t xml:space="preserve">Regulatory Complexity:</w:t>
      </w:r>
      <w:r>
        <w:t xml:space="preserve"> </w:t>
      </w:r>
      <w:r>
        <w:t xml:space="preserve">Navigating Ethiopia's new Financial Sector Development Program (FSDP) requires analysts to constantly update compliance parameters for sales proposals</w:t>
      </w:r>
    </w:p>
    <w:bookmarkEnd w:id="25"/>
    <w:bookmarkStart w:id="29" w:name="X564fa4c802416031866481f2656b0b263460c60"/>
    <w:p>
      <w:pPr>
        <w:pStyle w:val="Heading2"/>
      </w:pPr>
      <w:r>
        <w:t xml:space="preserve">Strategic Recommendations for Enhanced Sales Performance</w:t>
      </w:r>
    </w:p>
    <w:p>
      <w:pPr>
        <w:pStyle w:val="FirstParagraph"/>
      </w:pPr>
      <w:r>
        <w:t xml:space="preserve">To sustain growth in Addis Ababa, our Financial Analyst team proposes the following evidence-based initiatives:</w:t>
      </w:r>
    </w:p>
    <w:bookmarkStart w:id="26" w:name="Xdcffbfe0525b4a485d49e2ae1ad5ec9c3c30251"/>
    <w:p>
      <w:pPr>
        <w:pStyle w:val="Heading3"/>
      </w:pPr>
      <w:r>
        <w:t xml:space="preserve">1. AI-Powered Client Profitability Mapping (Addis Ababa Focus)</w:t>
      </w:r>
    </w:p>
    <w:p>
      <w:pPr>
        <w:pStyle w:val="FirstParagraph"/>
      </w:pPr>
      <w:r>
        <w:t xml:space="preserve">Implement an Ethiopia-specific AI model analyzing 5+ years of client data to identify high-potential sectors in Addis Ababa (e.g., agro-processing, renewable energy). This would allow sales teams to target industries with 40% higher conversion rates based on our Q3 data.</w:t>
      </w:r>
    </w:p>
    <w:bookmarkEnd w:id="26"/>
    <w:bookmarkStart w:id="27" w:name="Xfb35657b6140f65965b0ca1baef75e5ba792d73"/>
    <w:p>
      <w:pPr>
        <w:pStyle w:val="Heading3"/>
      </w:pPr>
      <w:r>
        <w:t xml:space="preserve">2. Quarterly Addis Ababa Economic Pulse Report</w:t>
      </w:r>
    </w:p>
    <w:p>
      <w:pPr>
        <w:pStyle w:val="FirstParagraph"/>
      </w:pPr>
      <w:r>
        <w:t xml:space="preserve">Replace standard monthly reports with a specialized Ethiopia report featuring:</w:t>
      </w:r>
      <w:r>
        <w:t xml:space="preserve"> </w:t>
      </w:r>
      <w:r>
        <w:t xml:space="preserve">- Central Bank of Ethiopia policy impact analysis</w:t>
      </w:r>
      <w:r>
        <w:t xml:space="preserve"> </w:t>
      </w:r>
      <w:r>
        <w:t xml:space="preserve">- Addis Ababa business confidence index tracking</w:t>
      </w:r>
      <w:r>
        <w:t xml:space="preserve"> </w:t>
      </w:r>
      <w:r>
        <w:t xml:space="preserve">- Sector-specific inflation adjustments for pricing models</w:t>
      </w:r>
    </w:p>
    <w:bookmarkEnd w:id="27"/>
    <w:bookmarkStart w:id="28" w:name="Xe8bffe6b5630768371141a05ff58b8f050357e9"/>
    <w:p>
      <w:pPr>
        <w:pStyle w:val="Heading3"/>
      </w:pPr>
      <w:r>
        <w:t xml:space="preserve">3. Financial Analyst "Market Immersion" Program</w:t>
      </w:r>
    </w:p>
    <w:p>
      <w:pPr>
        <w:pStyle w:val="FirstParagraph"/>
      </w:pPr>
      <w:r>
        <w:t xml:space="preserve">Send all Addis Ababa Financial Analysts on 10-day field rotations through key Ethiopian business zones (Bole, Kazanchis, Kality) to observe client operations firsthand and refine financial models with local context.</w:t>
      </w:r>
    </w:p>
    <w:p>
      <w:pPr>
        <w:pStyle w:val="BodyText"/>
      </w:pPr>
      <w:r>
        <w:rPr>
          <w:bCs/>
          <w:b/>
        </w:rPr>
        <w:t xml:space="preserve">Financial Impact Projection:</w:t>
      </w:r>
      <w:r>
        <w:t xml:space="preserve"> </w:t>
      </w:r>
      <w:r>
        <w:t xml:space="preserve">These initiatives are estimated to increase Addis Ababa sales growth by 22-25% in Q4 2024, creating an additional ETB 65.3M in revenue while reducing client acquisition costs by 18% through better targeting.</w:t>
      </w:r>
    </w:p>
    <w:bookmarkEnd w:id="28"/>
    <w:bookmarkEnd w:id="29"/>
    <w:bookmarkStart w:id="30" w:name="Xf217d503536a580e0ba418efba7ee246eb35c78"/>
    <w:p>
      <w:pPr>
        <w:pStyle w:val="Heading2"/>
      </w:pPr>
      <w:r>
        <w:t xml:space="preserve">Conclusion: The Strategic Imperative of Financial Analysts in Ethiopia</w:t>
      </w:r>
    </w:p>
    <w:p>
      <w:pPr>
        <w:pStyle w:val="FirstParagraph"/>
      </w:pPr>
      <w:r>
        <w:t xml:space="preserve">The Q3 performance demonstrates that our Financial Analyst team is not merely a support function but the strategic engine driving sales excellence in Addis Ababa. By leveraging deep Ethiopia market knowledge combined with sophisticated financial analysis, we have achieved sustainable growth that outperforms national benchmarks by 7.5 percentage points. As Ethiopia's economy continues its transformation through Vision 2030, the role of Financial Analysts must evolve from reactive reporting to proactive market shaping.</w:t>
      </w:r>
    </w:p>
    <w:p>
      <w:pPr>
        <w:pStyle w:val="BodyText"/>
      </w:pPr>
      <w:r>
        <w:t xml:space="preserve">In the Addis Ababa context, where business relationships and cultural nuance significantly impact sales cycles, our Financial Analysts have become indispensable in translating financial data into culturally intelligent sales strategies. The future success of our Ethiopia operations hinges on doubling down on these localized analytical capabilities. We recommend allocating 15% of the Ethiopia market's analytics budget specifically to Addis Ababa-focused predictive modeling initiatives that directly address the unique economic realities documented in this report.</w:t>
      </w:r>
    </w:p>
    <w:p>
      <w:pPr>
        <w:pStyle w:val="BodyText"/>
      </w:pPr>
      <w:r>
        <w:rPr>
          <w:bCs/>
          <w:b/>
        </w:rPr>
        <w:t xml:space="preserve">Prepared By:</w:t>
      </w:r>
      <w:r>
        <w:t xml:space="preserve"> </w:t>
      </w:r>
      <w:r>
        <w:t xml:space="preserve">[Name], Senior Financial Analyst | Addis Ababa Office | Ethiopian Financial Insights Group</w:t>
      </w:r>
    </w:p>
    <w:p>
      <w:pPr>
        <w:pStyle w:val="BodyText"/>
      </w:pPr>
      <w:r>
        <w:rPr>
          <w:iCs/>
          <w:i/>
        </w:rPr>
        <w:t xml:space="preserve">"Data-driven decisions don't just improve sales—they build sustainable growth for Ethiopia's economic future."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Addis Ababa, Ethiopia</dc:title>
  <dc:creator/>
  <dc:language>en</dc:language>
  <cp:keywords/>
  <dcterms:created xsi:type="dcterms:W3CDTF">2026-07-23T09:34:28Z</dcterms:created>
  <dcterms:modified xsi:type="dcterms:W3CDTF">2026-07-23T09:34:28Z</dcterms:modified>
</cp:coreProperties>
</file>

<file path=docProps/custom.xml><?xml version="1.0" encoding="utf-8"?>
<Properties xmlns="http://schemas.openxmlformats.org/officeDocument/2006/custom-properties" xmlns:vt="http://schemas.openxmlformats.org/officeDocument/2006/docPropsVTypes"/>
</file>