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Performance</w:t>
      </w:r>
      <w:r>
        <w:t xml:space="preserve"> </w:t>
      </w:r>
      <w:r>
        <w:t xml:space="preserve">Report:</w:t>
      </w:r>
      <w:r>
        <w:t xml:space="preserve"> </w:t>
      </w:r>
      <w:r>
        <w:t xml:space="preserve">Financial</w:t>
      </w:r>
      <w:r>
        <w:t xml:space="preserve"> </w:t>
      </w:r>
      <w:r>
        <w:t xml:space="preserve">Analyst</w:t>
      </w:r>
      <w:r>
        <w:t xml:space="preserve"> </w:t>
      </w:r>
      <w:r>
        <w:t xml:space="preserve">Insights</w:t>
      </w:r>
      <w:r>
        <w:t xml:space="preserve"> </w:t>
      </w:r>
      <w:r>
        <w:t xml:space="preserve">for</w:t>
      </w:r>
      <w:r>
        <w:t xml:space="preserve"> </w:t>
      </w:r>
      <w:r>
        <w:t xml:space="preserve">Germany</w:t>
      </w:r>
      <w:r>
        <w:t xml:space="preserve"> </w:t>
      </w:r>
      <w:r>
        <w:t xml:space="preserve">Frankfurt</w:t>
      </w:r>
    </w:p>
    <w:bookmarkStart w:id="28" w:name="q3-2023-sales-performance-report"/>
    <w:p>
      <w:pPr>
        <w:pStyle w:val="Heading1"/>
      </w:pPr>
      <w:r>
        <w:t xml:space="preserve">Q3 2023 Sales Performance Report</w:t>
      </w:r>
    </w:p>
    <w:bookmarkStart w:id="27" w:name="X0ce5abdd95263f268b67f44303eed7f3adedd37"/>
    <w:p>
      <w:pPr>
        <w:pStyle w:val="Heading2"/>
      </w:pPr>
      <w:r>
        <w:t xml:space="preserve">Financial Analyst Analysis for Germany Frankfurt Market</w:t>
      </w:r>
    </w:p>
    <w:p>
      <w:pPr>
        <w:pStyle w:val="FirstParagraph"/>
      </w:pPr>
      <w:r>
        <w:t xml:space="preserve">Prepared by the Financial Analytics Division | Frankfurt, Germany | October 15, 2023</w:t>
      </w:r>
    </w:p>
    <w:bookmarkStart w:id="20" w:name="executive-summary"/>
    <w:p>
      <w:pPr>
        <w:pStyle w:val="Heading3"/>
      </w:pPr>
      <w:r>
        <w:t xml:space="preserve">Executive Summary</w:t>
      </w:r>
    </w:p>
    <w:p>
      <w:pPr>
        <w:pStyle w:val="FirstParagraph"/>
      </w:pPr>
      <w:r>
        <w:t xml:space="preserve">This comprehensive Sales Report presents a detailed analysis of Q3 2023 performance metrics for our financial services division operating in the globally significant Germany Frankfurt marketplace. As the lead Financial Analyst, I've conducted an in-depth examination of sales data to identify strategic opportunities and challenges specific to this critical European financial hub. The findings reveal robust growth in key segments, with Frankfurt demonstrating exceptional resilience amid evolving market conditions. This Sales Report serves as an essential decision-making tool for our leadership team navigating the complex landscape of Germany Frankfurt's financial ecosystem.</w:t>
      </w:r>
    </w:p>
    <w:bookmarkEnd w:id="20"/>
    <w:bookmarkStart w:id="21" w:name="X741bf1da58893886fb107881b87f581fc9fce46"/>
    <w:p>
      <w:pPr>
        <w:pStyle w:val="Heading3"/>
      </w:pPr>
      <w:r>
        <w:t xml:space="preserve">Market Context: Germany Frankfurt as a Financial Powerhouse</w:t>
      </w:r>
    </w:p>
    <w:p>
      <w:pPr>
        <w:pStyle w:val="FirstParagraph"/>
      </w:pPr>
      <w:r>
        <w:t xml:space="preserve">Frankfurt, the heart of Germany's financial industry, hosts the European Central Bank, Deutsche Börse Group, and headquarters of major international banks. This Sales Report must be contextualized within this unique environment where 45% of Europe's largest asset management firms maintain operational bases. As a Financial Analyst embedded in Frankfurt since 2018, I've witnessed how local market dynamics directly influence our sales trajectories. The Germany Frankfurt financial cluster generates over €300 billion in annual transaction volume, creating a fertile ground for strategic sales initiatives that require hyper-localized financial analysis.</w:t>
      </w:r>
    </w:p>
    <w:bookmarkEnd w:id="21"/>
    <w:bookmarkStart w:id="22" w:name="Xbcccd56a47adafbee5c11507e872afb7c27c6a0"/>
    <w:p>
      <w:pPr>
        <w:pStyle w:val="Heading3"/>
      </w:pPr>
      <w:r>
        <w:t xml:space="preserve">Sales Performance Metrics: Key Q3 2023 Highlights</w:t>
      </w:r>
    </w:p>
    <w:p>
      <w:pPr>
        <w:pStyle w:val="FirstParagraph"/>
      </w:pPr>
      <w:r>
        <w:t xml:space="preserve">Our Frankfurt-based team achieved a 12.7% year-over-year revenue increase in Q3, surpassing regional targets by 8.4%. The following metrics from this Sales Report demonstrate the effectiveness of our market-specific strategies:</w:t>
      </w:r>
    </w:p>
    <w:p>
      <w:pPr>
        <w:numPr>
          <w:ilvl w:val="0"/>
          <w:numId w:val="1001"/>
        </w:numPr>
        <w:pStyle w:val="Compact"/>
      </w:pPr>
      <w:r>
        <w:rPr>
          <w:bCs/>
          <w:b/>
        </w:rPr>
        <w:t xml:space="preserve">Client Acquisition Rate:</w:t>
      </w:r>
      <w:r>
        <w:t xml:space="preserve"> </w:t>
      </w:r>
      <w:r>
        <w:t xml:space="preserve">+15.2% in Germany Frankfurt (vs. 7.9% global average)</w:t>
      </w:r>
    </w:p>
    <w:p>
      <w:pPr>
        <w:numPr>
          <w:ilvl w:val="0"/>
          <w:numId w:val="1001"/>
        </w:numPr>
        <w:pStyle w:val="Compact"/>
      </w:pPr>
      <w:r>
        <w:rPr>
          <w:bCs/>
          <w:b/>
        </w:rPr>
        <w:t xml:space="preserve">Cross-Sell Success:</w:t>
      </w:r>
      <w:r>
        <w:t xml:space="preserve"> </w:t>
      </w:r>
      <w:r>
        <w:t xml:space="preserve">34% of new institutional clients added complementary services within first quarter</w:t>
      </w:r>
    </w:p>
    <w:p>
      <w:pPr>
        <w:numPr>
          <w:ilvl w:val="0"/>
          <w:numId w:val="1001"/>
        </w:numPr>
        <w:pStyle w:val="Compact"/>
      </w:pPr>
      <w:r>
        <w:rPr>
          <w:bCs/>
          <w:b/>
        </w:rPr>
        <w:t xml:space="preserve">Market Share Growth:</w:t>
      </w:r>
      <w:r>
        <w:t xml:space="preserve"> </w:t>
      </w:r>
      <w:r>
        <w:t xml:space="preserve">+2.1 percentage points in German corporate bond segment (Frankfurt-specific data)</w:t>
      </w:r>
    </w:p>
    <w:p>
      <w:pPr>
        <w:numPr>
          <w:ilvl w:val="0"/>
          <w:numId w:val="1001"/>
        </w:numPr>
        <w:pStyle w:val="Compact"/>
      </w:pPr>
      <w:r>
        <w:rPr>
          <w:bCs/>
          <w:b/>
        </w:rPr>
        <w:t xml:space="preserve">Sales Cycle Reduction:</w:t>
      </w:r>
      <w:r>
        <w:t xml:space="preserve"> </w:t>
      </w:r>
      <w:r>
        <w:t xml:space="preserve">Average 22 days (down from 31 days YoY) for Frankfurt-based enterprise clients</w:t>
      </w:r>
    </w:p>
    <w:p>
      <w:pPr>
        <w:pStyle w:val="FirstParagraph"/>
      </w:pPr>
      <w:r>
        <w:t xml:space="preserve">This performance was directly enabled by our Financial Analyst team's predictive modeling of regional market shifts. Our Q3 Sales Report identifies the strong demand for ESG-compliant investment solutions as a primary growth driver in Germany Frankfurt, where 68% of institutional investors now require sustainability metrics in all proposals.</w:t>
      </w:r>
    </w:p>
    <w:bookmarkEnd w:id="22"/>
    <w:bookmarkStart w:id="23" w:name="Xc4477e017e2efff2d740ac245b0464c7aecb7ce"/>
    <w:p>
      <w:pPr>
        <w:pStyle w:val="Heading3"/>
      </w:pPr>
      <w:r>
        <w:t xml:space="preserve">Financial Analyst Insights: Frankfurt-Specific Challenges</w:t>
      </w:r>
    </w:p>
    <w:p>
      <w:pPr>
        <w:pStyle w:val="FirstParagraph"/>
      </w:pPr>
      <w:r>
        <w:t xml:space="preserve">As the dedicated Financial Analyst for our Germany Frankfurt operations, my quarterly analysis uncovered three critical challenges requiring immediate attention:</w:t>
      </w:r>
    </w:p>
    <w:p>
      <w:pPr>
        <w:numPr>
          <w:ilvl w:val="0"/>
          <w:numId w:val="1002"/>
        </w:numPr>
        <w:pStyle w:val="Compact"/>
      </w:pPr>
      <w:r>
        <w:rPr>
          <w:bCs/>
          <w:b/>
        </w:rPr>
        <w:t xml:space="preserve">Regulatory Complexity:</w:t>
      </w:r>
      <w:r>
        <w:t xml:space="preserve"> </w:t>
      </w:r>
      <w:r>
        <w:t xml:space="preserve">New MiFID II implementation nuances created sales process bottlenecks. Our Financial Analyst team developed a compliance-integration framework that reduced deal friction by 37%.</w:t>
      </w:r>
    </w:p>
    <w:p>
      <w:pPr>
        <w:numPr>
          <w:ilvl w:val="0"/>
          <w:numId w:val="1002"/>
        </w:numPr>
        <w:pStyle w:val="Compact"/>
      </w:pPr>
      <w:r>
        <w:rPr>
          <w:bCs/>
          <w:b/>
        </w:rPr>
        <w:t xml:space="preserve">Currency Volatility Impact:</w:t>
      </w:r>
      <w:r>
        <w:t xml:space="preserve"> </w:t>
      </w:r>
      <w:r>
        <w:t xml:space="preserve">EUR/USD fluctuations affected pricing strategies for Frankfurt-based clients. We implemented dynamic pricing models based on real-time FX data, improving contract margins by 9.3%.</w:t>
      </w:r>
    </w:p>
    <w:p>
      <w:pPr>
        <w:numPr>
          <w:ilvl w:val="0"/>
          <w:numId w:val="1002"/>
        </w:numPr>
        <w:pStyle w:val="Compact"/>
      </w:pPr>
      <w:r>
        <w:rPr>
          <w:bCs/>
          <w:b/>
        </w:rPr>
        <w:t xml:space="preserve">Talent Retention in Frankfurt:</w:t>
      </w:r>
      <w:r>
        <w:t xml:space="preserve"> </w:t>
      </w:r>
      <w:r>
        <w:t xml:space="preserve">Competition for skilled sales professionals in Germany's financial hub increased attrition rates by 18%. Our Financial Analyst team proposed a localized compensation structure that reduced turnover to industry average (12% vs. previous 26%).</w:t>
      </w:r>
    </w:p>
    <w:bookmarkEnd w:id="23"/>
    <w:bookmarkStart w:id="24" w:name="X6ca25ec9d42390db9b544092dc98ac6f7a023d4"/>
    <w:p>
      <w:pPr>
        <w:pStyle w:val="Heading3"/>
      </w:pPr>
      <w:r>
        <w:t xml:space="preserve">Strategic Opportunities in Germany Frankfurt Market</w:t>
      </w:r>
    </w:p>
    <w:p>
      <w:pPr>
        <w:pStyle w:val="FirstParagraph"/>
      </w:pPr>
      <w:r>
        <w:t xml:space="preserve">Our Sales Report identifies three high-potential growth vectors for the Germany Frankfurt market, validated through Financial Analyst forecasting models: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Opportunity</w:t>
            </w:r>
          </w:p>
        </w:tc>
        <w:tc>
          <w:tcPr/>
          <w:p>
            <w:pPr>
              <w:pStyle w:val="Compact"/>
              <w:jc w:val="left"/>
            </w:pPr>
            <w:r>
              <w:t xml:space="preserve">Projected Market Growth (2024)</w:t>
            </w:r>
          </w:p>
        </w:tc>
        <w:tc>
          <w:tcPr/>
          <w:p>
            <w:pPr>
              <w:pStyle w:val="Compact"/>
              <w:jc w:val="left"/>
            </w:pPr>
            <w:r>
              <w:t xml:space="preserve">Required Sales Strategy</w:t>
            </w:r>
          </w:p>
        </w:tc>
      </w:tr>
      <w:tr>
        <w:tc>
          <w:tcPr/>
          <w:p>
            <w:pPr>
              <w:pStyle w:val="Compact"/>
              <w:jc w:val="left"/>
            </w:pPr>
            <w:r>
              <w:t xml:space="preserve">Digital Wealth Management Solutions for German SMEs</w:t>
            </w:r>
          </w:p>
        </w:tc>
        <w:tc>
          <w:tcPr/>
          <w:p>
            <w:pPr>
              <w:pStyle w:val="Compact"/>
              <w:jc w:val="left"/>
            </w:pPr>
            <w:r>
              <w:t xml:space="preserve">19.7%</w:t>
            </w:r>
          </w:p>
        </w:tc>
        <w:tc>
          <w:tcPr/>
          <w:p>
            <w:pPr>
              <w:pStyle w:val="Compact"/>
              <w:jc w:val="left"/>
            </w:pPr>
            <w:r>
              <w:t xml:space="preserve">Personalized mobile solution bundles with Frankfurt-based client success team</w:t>
            </w:r>
          </w:p>
        </w:tc>
      </w:tr>
      <w:tr>
        <w:tc>
          <w:tcPr/>
          <w:p>
            <w:pPr>
              <w:pStyle w:val="Compact"/>
              <w:jc w:val="left"/>
            </w:pPr>
            <w:r>
              <w:t xml:space="preserve">Emissions Trading Compliance Services</w:t>
            </w:r>
          </w:p>
        </w:tc>
        <w:tc>
          <w:tcPr/>
          <w:p>
            <w:pPr>
              <w:pStyle w:val="Compact"/>
              <w:jc w:val="left"/>
            </w:pPr>
            <w:r>
              <w:t xml:space="preserve">32.4%</w:t>
            </w:r>
          </w:p>
        </w:tc>
        <w:tc>
          <w:tcPr/>
          <w:p>
            <w:pPr>
              <w:pStyle w:val="Compact"/>
              <w:jc w:val="left"/>
            </w:pPr>
            <w:r>
              <w:t xml:space="preserve">Co-developed sales pitch with Frankfurt environmental compliance specialists</w:t>
            </w:r>
          </w:p>
        </w:tc>
      </w:tr>
      <w:tr>
        <w:tc>
          <w:tcPr/>
          <w:p>
            <w:pPr>
              <w:pStyle w:val="Compact"/>
              <w:jc w:val="left"/>
            </w:pPr>
            <w:r>
              <w:t xml:space="preserve">Nordic Market Expansion Support for German Corporates</w:t>
            </w:r>
          </w:p>
        </w:tc>
        <w:tc>
          <w:tcPr/>
          <w:p>
            <w:pPr>
              <w:pStyle w:val="Compact"/>
              <w:jc w:val="left"/>
            </w:pPr>
            <w:r>
              <w:t xml:space="preserve">28.1%</w:t>
            </w:r>
          </w:p>
        </w:tc>
        <w:tc>
          <w:tcPr/>
          <w:p>
            <w:pPr>
              <w:pStyle w:val="Compact"/>
              <w:jc w:val="left"/>
            </w:pPr>
            <w:r>
              <w:t xml:space="preserve">Targeted sales playbook developed by Financial Analyst team using Frankfurt trade data</w:t>
            </w:r>
          </w:p>
        </w:tc>
      </w:tr>
    </w:tbl>
    <w:bookmarkEnd w:id="24"/>
    <w:bookmarkStart w:id="25" w:name="X29d9295f29834b87f93ac8dbec4114d95c7350a"/>
    <w:p>
      <w:pPr>
        <w:pStyle w:val="Heading3"/>
      </w:pPr>
      <w:r>
        <w:t xml:space="preserve">Financial Analyst Recommendations for Frankfurt Sales Team</w:t>
      </w:r>
    </w:p>
    <w:p>
      <w:pPr>
        <w:pStyle w:val="FirstParagraph"/>
      </w:pPr>
      <w:r>
        <w:t xml:space="preserve">Based on this Q3 Sales Report, the following strategic actions are recommended to capitalize on Germany Frankfurt's unique advantages:</w:t>
      </w:r>
    </w:p>
    <w:p>
      <w:pPr>
        <w:numPr>
          <w:ilvl w:val="0"/>
          <w:numId w:val="1003"/>
        </w:numPr>
        <w:pStyle w:val="Compact"/>
      </w:pPr>
      <w:r>
        <w:rPr>
          <w:bCs/>
          <w:b/>
        </w:rPr>
        <w:t xml:space="preserve">Establish a Frankfurt-Specific Sales Academy:</w:t>
      </w:r>
      <w:r>
        <w:t xml:space="preserve"> </w:t>
      </w:r>
      <w:r>
        <w:t xml:space="preserve">Develop localized training modules incorporating Deutsche Börse market data. The Financial Analyst team will provide ongoing performance analytics to measure program effectiveness.</w:t>
      </w:r>
    </w:p>
    <w:p>
      <w:pPr>
        <w:numPr>
          <w:ilvl w:val="0"/>
          <w:numId w:val="1003"/>
        </w:numPr>
        <w:pStyle w:val="Compact"/>
      </w:pPr>
      <w:r>
        <w:rPr>
          <w:bCs/>
          <w:b/>
        </w:rPr>
        <w:t xml:space="preserve">Leverage Frankfurt's ESG Leadership:</w:t>
      </w:r>
      <w:r>
        <w:t xml:space="preserve"> </w:t>
      </w:r>
      <w:r>
        <w:t xml:space="preserve">Create dedicated sales teams focused on sustainability metrics, using our Financial Analyst team's proprietary ESG scoring model that now accounts for 60% of Frankfurt client decision matrices.</w:t>
      </w:r>
    </w:p>
    <w:p>
      <w:pPr>
        <w:numPr>
          <w:ilvl w:val="0"/>
          <w:numId w:val="1003"/>
        </w:numPr>
        <w:pStyle w:val="Compact"/>
      </w:pPr>
      <w:r>
        <w:rPr>
          <w:bCs/>
          <w:b/>
        </w:rPr>
        <w:t xml:space="preserve">Implement Predictive Sales Analytics Dashboard:</w:t>
      </w:r>
      <w:r>
        <w:t xml:space="preserve"> </w:t>
      </w:r>
      <w:r>
        <w:t xml:space="preserve">A real-time Germany Frankfurt market monitoring tool will be deployed by Q1 2024, directly integrating with CRM systems to provide instant insights during client presentations.</w:t>
      </w:r>
    </w:p>
    <w:bookmarkEnd w:id="25"/>
    <w:bookmarkStart w:id="26" w:name="X42b6fcd1d3cb7de2905beb63cd1681e3e58b590"/>
    <w:p>
      <w:pPr>
        <w:pStyle w:val="Heading3"/>
      </w:pPr>
      <w:r>
        <w:t xml:space="preserve">Conclusion: The Future of Sales in Germany Frankfurt</w:t>
      </w:r>
    </w:p>
    <w:p>
      <w:pPr>
        <w:pStyle w:val="FirstParagraph"/>
      </w:pPr>
      <w:r>
        <w:t xml:space="preserve">This Sales Report underscores that Frankfurt's position as Europe's financial nerve center demands specialized sales approaches. As the Financial Analyst responsible for our Germany Frankfurt operations, I affirm that success here requires three critical elements: deep local market understanding, agile adaptation to regulatory changes, and data-driven sales strategy. Our Q3 performance demonstrates this approach delivers sustainable growth – with Frankfurt now representing 28% of our European revenue despite being just one location.</w:t>
      </w:r>
    </w:p>
    <w:p>
      <w:pPr>
        <w:pStyle w:val="BodyText"/>
      </w:pPr>
      <w:r>
        <w:t xml:space="preserve">Looking ahead, the Financial Analyst team will enhance its predictive models to incorporate Frankfurt-specific variables including DAX volatility indices and EU regulatory proposal timelines. This evolution ensures our Sales Report remains a strategic asset rather than merely a performance summary. For any organization aiming to thrive in Germany Frankfurt's competitive financial landscape, integrating robust financial analysis into sales operations isn't optional – it's the cornerstone of success.</w:t>
      </w:r>
    </w:p>
    <w:p>
      <w:pPr>
        <w:pStyle w:val="BodyText"/>
      </w:pPr>
      <w:r>
        <w:t xml:space="preserve">"In the dynamic marketplace of Germany Frankfurt, where every basis point matters, a Financial Analyst isn't just analyzing numbers – we're defining the sales strategy."</w:t>
      </w:r>
      <w:r>
        <w:br/>
      </w:r>
      <w:r>
        <w:t xml:space="preserve">- Maria Schmidt, Senior Financial Analyst | Frankfurt Office</w:t>
      </w:r>
    </w:p>
    <w:p>
      <w:pPr>
        <w:pStyle w:val="BodyText"/>
      </w:pPr>
      <w:r>
        <w:t xml:space="preserve">This Sales Report complies with all German financial disclosure regulations (KWG, BaFin guidelines). Prepared by the Financial Analytics Department for Frankfurt-based operations. Data sources include Deutsche Bundesbank, Frankfurt Stock Exchange, and internal CRM analytics.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Performance Report: Financial Analyst Insights for Germany Frankfurt</dc:title>
  <dc:creator/>
  <dc:language>en</dc:language>
  <cp:keywords/>
  <dcterms:created xsi:type="dcterms:W3CDTF">2025-12-11T14:24:34Z</dcterms:created>
  <dcterms:modified xsi:type="dcterms:W3CDTF">2025-12-11T14:24:34Z</dcterms:modified>
</cp:coreProperties>
</file>

<file path=docProps/custom.xml><?xml version="1.0" encoding="utf-8"?>
<Properties xmlns="http://schemas.openxmlformats.org/officeDocument/2006/custom-properties" xmlns:vt="http://schemas.openxmlformats.org/officeDocument/2006/docPropsVTypes"/>
</file>