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&amp;</w:t>
      </w:r>
      <w:r>
        <w:t xml:space="preserve"> </w:t>
      </w:r>
      <w:r>
        <w:t xml:space="preserve">Financial</w:t>
      </w:r>
      <w:r>
        <w:t xml:space="preserve"> </w:t>
      </w:r>
      <w:r>
        <w:t xml:space="preserve">Analysis</w:t>
      </w:r>
      <w:r>
        <w:t xml:space="preserve"> </w:t>
      </w:r>
      <w:r>
        <w:t xml:space="preserve">-</w:t>
      </w:r>
      <w:r>
        <w:t xml:space="preserve"> </w:t>
      </w:r>
      <w:r>
        <w:t xml:space="preserve">Jakarta</w:t>
      </w:r>
      <w:r>
        <w:t xml:space="preserve"> </w:t>
      </w:r>
      <w:r>
        <w:t xml:space="preserve">Indonesia</w:t>
      </w:r>
    </w:p>
    <w:bookmarkStart w:id="26" w:name="Xd640e5fde6c6de92a4a12aa24f9a068a0584e47"/>
    <w:p>
      <w:pPr>
        <w:pStyle w:val="Heading1"/>
      </w:pPr>
      <w:r>
        <w:t xml:space="preserve">Quarterly Sales Performance Report &amp; Financial Analysis | Jakarta, Indonesia</w:t>
      </w:r>
    </w:p>
    <w:bookmarkStart w:id="20" w:name="executive-summary"/>
    <w:p>
      <w:pPr>
        <w:pStyle w:val="Heading2"/>
      </w:pPr>
      <w:r>
        <w:t xml:space="preserve">Executive Summary</w:t>
      </w:r>
    </w:p>
    <w:p>
      <w:pPr>
        <w:pStyle w:val="FirstParagraph"/>
      </w:pPr>
      <w:r>
        <w:t xml:space="preserve">This comprehensive Sales Report presents the financial performance of our Jakarta operations for Q3 2023, analyzed through the lens of our dedicated Financial Analyst team. As the economic hub of Indonesia, Jakarta demands precise financial oversight to navigate complex market dynamics. The Financial Analyst role has proven indispensable in transforming raw sales data into actionable strategic insights, directly contributing to a 14.7% YoY revenue growth in our Southeast Asian portfolio. This report details key metrics, market-specific challenges, and forward-looking recommendations tailored for the Indonesia Jakarta business environment.</w:t>
      </w:r>
    </w:p>
    <w:bookmarkEnd w:id="20"/>
    <w:bookmarkStart w:id="21" w:name="X02c0d5f0b64dddb4ebd1ae319a2d072d4a56ec2"/>
    <w:p>
      <w:pPr>
        <w:pStyle w:val="Heading2"/>
      </w:pPr>
      <w:r>
        <w:t xml:space="preserve">Key Sales Performance Metrics: Jakarta Market</w:t>
      </w:r>
    </w:p>
    <w:p>
      <w:pPr>
        <w:pStyle w:val="FirstParagraph"/>
      </w:pPr>
      <w:r>
        <w:t xml:space="preserve">The Financial Analyst team conducted an in-depth review of sales data across our 18 operational branches in Indonesia Jakarta. Critical findings include:</w:t>
      </w:r>
    </w:p>
    <w:p>
      <w:pPr>
        <w:pStyle w:val="BodyText"/>
      </w:pPr>
      <w:r>
        <w:t xml:space="preserve">Performance Indicator</w:t>
      </w:r>
    </w:p>
    <w:bookmarkEnd w:id="21"/>
    <w:p>
      <w:pPr>
        <w:pStyle w:val="BodyText"/>
      </w:pPr>
      <w:r>
        <w:t xml:space="preserve">Q3 2023</w:t>
      </w:r>
    </w:p>
    <w:p>
      <w:pPr>
        <w:pStyle w:val="BodyText"/>
      </w:pPr>
      <w:r>
        <w:t xml:space="preserve">Q2 2023</w:t>
      </w:r>
    </w:p>
    <w:p>
      <w:pPr>
        <w:pStyle w:val="BodyText"/>
      </w:pPr>
      <w:r>
        <w:t xml:space="preserve">Change (YoY)</w:t>
      </w:r>
    </w:p>
    <w:p>
      <w:pPr>
        <w:pStyle w:val="BodyText"/>
      </w:pPr>
      <w:r>
        <w:t xml:space="preserve">Total Revenue (IDR)</w:t>
      </w:r>
    </w:p>
    <w:p>
      <w:pPr>
        <w:pStyle w:val="BodyText"/>
      </w:pPr>
      <w:r>
        <w:t xml:space="preserve">18.7B</w:t>
      </w:r>
    </w:p>
    <w:p>
      <w:pPr>
        <w:pStyle w:val="BodyText"/>
      </w:pPr>
      <w:r>
        <w:t xml:space="preserve">16.4B</w:t>
      </w:r>
    </w:p>
    <w:p>
      <w:pPr>
        <w:pStyle w:val="BodyText"/>
      </w:pPr>
      <w:r>
        <w:t xml:space="preserve">+14.7%</w:t>
      </w:r>
    </w:p>
    <w:p>
      <w:pPr>
        <w:pStyle w:val="BodyText"/>
      </w:pPr>
      <w:r>
        <w:t xml:space="preserve">Customer Acquisition Cost (CAC)</w:t>
      </w:r>
    </w:p>
    <w:p>
      <w:pPr>
        <w:pStyle w:val="BodyText"/>
      </w:pPr>
      <w:r>
        <w:t xml:space="preserve">IDR 425,000</w:t>
      </w:r>
    </w:p>
    <w:p>
      <w:pPr>
        <w:pStyle w:val="BodyText"/>
      </w:pPr>
      <w:r>
        <w:t xml:space="preserve">IDR 482,000</w:t>
      </w:r>
    </w:p>
    <w:p>
      <w:pPr>
        <w:pStyle w:val="BodyText"/>
      </w:pPr>
      <w:r>
        <w:t xml:space="preserve">-11.8%</w:t>
      </w:r>
    </w:p>
    <w:p>
      <w:pPr>
        <w:pStyle w:val="BodyText"/>
      </w:pPr>
      <w:r>
        <w:t xml:space="preserve">Net Promoter Score (NPS)</w:t>
      </w:r>
    </w:p>
    <w:p>
      <w:pPr>
        <w:pStyle w:val="BodyText"/>
      </w:pPr>
      <w:r>
        <w:t xml:space="preserve">68</w:t>
      </w:r>
    </w:p>
    <w:p>
      <w:pPr>
        <w:pStyle w:val="BodyText"/>
      </w:pPr>
      <w:r>
        <w:t xml:space="preserve">63</w:t>
      </w:r>
    </w:p>
    <w:p>
      <w:pPr>
        <w:pStyle w:val="BodyText"/>
      </w:pPr>
      <w:r>
        <w:t xml:space="preserve">+5 pts</w:t>
      </w:r>
    </w:p>
    <w:p>
      <w:pPr>
        <w:pStyle w:val="BodyText"/>
      </w:pPr>
      <w:r>
        <w:t xml:space="preserve">Product Category Growth (High-Performing)</w:t>
      </w:r>
    </w:p>
    <w:p>
      <w:pPr>
        <w:pStyle w:val="BodyText"/>
      </w:pPr>
      <w:r>
        <w:t xml:space="preserve">Digital Solutions - +29.3% YoY</w:t>
      </w:r>
    </w:p>
    <w:p>
      <w:pPr>
        <w:pStyle w:val="BodyText"/>
      </w:pPr>
      <w:r>
        <w:t xml:space="preserve">Crucially, the Financial Analyst identified that Jakarta's high-growth digital solutions segment drove 58% of total revenue increase. This insight, derived from granular market analysis, prompted our sales team to reallocate 22% of marketing budget toward this vertical in Q3.</w:t>
      </w:r>
    </w:p>
    <w:bookmarkStart w:id="22" w:name="X4b3265ffb0f0b468c6bcec44a32e764870bc263"/>
    <w:p>
      <w:pPr>
        <w:pStyle w:val="Heading2"/>
      </w:pPr>
      <w:r>
        <w:t xml:space="preserve">Market-Specific Analysis: Financial Analyst's Jakarta Perspective</w:t>
      </w:r>
    </w:p>
    <w:p>
      <w:pPr>
        <w:pStyle w:val="FirstParagraph"/>
      </w:pPr>
      <w:r>
        <w:t xml:space="preserve">The Indonesia Jakarta market presents unique financial dynamics that require specialized analytical approaches. Our Financial Analyst has developed localized models accounting for:</w:t>
      </w:r>
    </w:p>
    <w:p>
      <w:pPr>
        <w:numPr>
          <w:ilvl w:val="0"/>
          <w:numId w:val="1001"/>
        </w:numPr>
        <w:pStyle w:val="Compact"/>
      </w:pPr>
      <w:r>
        <w:rPr>
          <w:bCs/>
          <w:b/>
        </w:rPr>
        <w:t xml:space="preserve">Regulatory Nuances:</w:t>
      </w:r>
      <w:r>
        <w:t xml:space="preserve"> </w:t>
      </w:r>
      <w:r>
        <w:t xml:space="preserve">Tax policies affecting e-commerce transactions (PPN 11% vs. standard 10%) impacting pricing strategies</w:t>
      </w:r>
    </w:p>
    <w:p>
      <w:pPr>
        <w:numPr>
          <w:ilvl w:val="0"/>
          <w:numId w:val="1001"/>
        </w:numPr>
        <w:pStyle w:val="Compact"/>
      </w:pPr>
      <w:r>
        <w:rPr>
          <w:bCs/>
          <w:b/>
        </w:rPr>
        <w:t xml:space="preserve">Currency Volatility:</w:t>
      </w:r>
      <w:r>
        <w:t xml:space="preserve"> </w:t>
      </w:r>
      <w:r>
        <w:t xml:space="preserve">IDR/USD fluctuations (2,500-2,750 range) requiring dynamic pricing adjustments</w:t>
      </w:r>
    </w:p>
    <w:p>
      <w:pPr>
        <w:numPr>
          <w:ilvl w:val="0"/>
          <w:numId w:val="1001"/>
        </w:numPr>
        <w:pStyle w:val="Compact"/>
      </w:pPr>
      <w:r>
        <w:rPr>
          <w:bCs/>
          <w:b/>
        </w:rPr>
        <w:t xml:space="preserve">Seasonal Demand Peaks:</w:t>
      </w:r>
      <w:r>
        <w:t xml:space="preserve"> </w:t>
      </w:r>
      <w:r>
        <w:t xml:space="preserve">Ramadan/Eid season sales patterns with 38% revenue concentration in June-July</w:t>
      </w:r>
    </w:p>
    <w:p>
      <w:pPr>
        <w:pStyle w:val="FirstParagraph"/>
      </w:pPr>
      <w:r>
        <w:t xml:space="preserve">"Without our Jakarta-based Financial Analyst team's localization of global models, we would have missed the optimal timing for digital product launches during the Ramadan period," noted Sarah Tanaka, Head of Sales Indonesia. The analyst's predictive model forecasted a 21% sales uplift from early June campaigns—a projection validated by actual results.</w:t>
      </w:r>
    </w:p>
    <w:bookmarkEnd w:id="22"/>
    <w:bookmarkStart w:id="23" w:name="Xa5698d4eeba8adfedb3724a4baebc9abc07e46b"/>
    <w:p>
      <w:pPr>
        <w:pStyle w:val="Heading2"/>
      </w:pPr>
      <w:r>
        <w:t xml:space="preserve">Challenges &amp; Opportunities in Jakarta Operations</w:t>
      </w:r>
    </w:p>
    <w:p>
      <w:pPr>
        <w:pStyle w:val="FirstParagraph"/>
      </w:pPr>
      <w:r>
        <w:t xml:space="preserve">The Financial Analyst has identified critical market-specific challenges requiring strategic intervention: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Financial Impact</w:t>
            </w:r>
          </w:p>
        </w:tc>
        <w:tc>
          <w:tcPr/>
          <w:p>
            <w:pPr>
              <w:pStyle w:val="Compact"/>
              <w:jc w:val="left"/>
            </w:pPr>
            <w:r>
              <w:t xml:space="preserve">Analyst-Recommended Action</w:t>
            </w:r>
          </w:p>
        </w:tc>
      </w:tr>
      <w:tr>
        <w:tc>
          <w:tcPr/>
          <w:p>
            <w:pPr>
              <w:pStyle w:val="Compact"/>
              <w:jc w:val="left"/>
            </w:pPr>
            <w:r>
              <w:t xml:space="preserve">High Logistics Costs (Jakarta Congestion)</w:t>
            </w:r>
          </w:p>
        </w:tc>
        <w:tc>
          <w:tcPr/>
          <w:p>
            <w:pPr>
              <w:pStyle w:val="Compact"/>
              <w:jc w:val="left"/>
            </w:pPr>
            <w:r>
              <w:t xml:space="preserve">-12% Gross Margin on 30% of shipments</w:t>
            </w:r>
          </w:p>
        </w:tc>
        <w:tc>
          <w:tcPr/>
          <w:p>
            <w:pPr>
              <w:pStyle w:val="Compact"/>
              <w:jc w:val="left"/>
            </w:pPr>
            <w:r>
              <w:t xml:space="preserve">Partner with local logistics startup (Movers) for last-mile delivery discounts</w:t>
            </w:r>
          </w:p>
        </w:tc>
      </w:tr>
      <w:tr>
        <w:tc>
          <w:tcPr/>
          <w:p>
            <w:pPr>
              <w:pStyle w:val="Compact"/>
              <w:jc w:val="left"/>
            </w:pPr>
            <w:r>
              <w:t xml:space="preserve">Price Sensitivity in Mid-Market Segment</w:t>
            </w:r>
          </w:p>
        </w:tc>
        <w:tc>
          <w:tcPr/>
          <w:p>
            <w:pPr>
              <w:pStyle w:val="Compact"/>
              <w:jc w:val="left"/>
            </w:pPr>
            <w:r>
              <w:t xml:space="preserve">18% Customer Churn during economic volatility</w:t>
            </w:r>
          </w:p>
        </w:tc>
        <w:tc>
          <w:tcPr/>
          <w:p>
            <w:pPr>
              <w:pStyle w:val="Compact"/>
              <w:jc w:val="left"/>
            </w:pPr>
            <w:r>
              <w:t xml:space="preserve">Introduce tiered subscription model with IDR 199K/month entry point</w:t>
            </w:r>
          </w:p>
        </w:tc>
      </w:tr>
    </w:tbl>
    <w:p>
      <w:pPr>
        <w:pStyle w:val="BodyText"/>
      </w:pPr>
      <w:r>
        <w:t xml:space="preserve">"The Financial Analyst's detailed cost-benefit analysis on the Movers partnership showed potential for IDR 8.3B annual savings—justifying a pilot program," explained Arif Rahman, Operations Manager. This initiative has since reduced delivery costs by 17% in Jakarta metropolitan area.</w:t>
      </w:r>
    </w:p>
    <w:bookmarkEnd w:id="23"/>
    <w:bookmarkStart w:id="24" w:name="strategic-recommendations-for-q4"/>
    <w:p>
      <w:pPr>
        <w:pStyle w:val="Heading2"/>
      </w:pPr>
      <w:r>
        <w:t xml:space="preserve">Strategic Recommendations for Q4</w:t>
      </w:r>
    </w:p>
    <w:p>
      <w:pPr>
        <w:pStyle w:val="FirstParagraph"/>
      </w:pPr>
      <w:r>
        <w:t xml:space="preserve">Based on the Financial Analyst's comprehensive assessment of Indonesia Jakarta market data, we propose these priority actions:</w:t>
      </w:r>
    </w:p>
    <w:p>
      <w:pPr>
        <w:numPr>
          <w:ilvl w:val="0"/>
          <w:numId w:val="1002"/>
        </w:numPr>
        <w:pStyle w:val="Compact"/>
      </w:pPr>
      <w:r>
        <w:rPr>
          <w:bCs/>
          <w:b/>
        </w:rPr>
        <w:t xml:space="preserve">Leverage Digital Growth Momentum:</w:t>
      </w:r>
      <w:r>
        <w:t xml:space="preserve"> </w:t>
      </w:r>
      <w:r>
        <w:t xml:space="preserve">Allocate 35% of Q4 sales budget to digital solution upselling. The Financial Analyst projects this will capture an additional IDR 12.6B in revenue from Jakarta's growing tech-savvy SME segment.</w:t>
      </w:r>
    </w:p>
    <w:p>
      <w:pPr>
        <w:numPr>
          <w:ilvl w:val="0"/>
          <w:numId w:val="1002"/>
        </w:numPr>
        <w:pStyle w:val="Compact"/>
      </w:pPr>
      <w:r>
        <w:rPr>
          <w:bCs/>
          <w:b/>
        </w:rPr>
        <w:t xml:space="preserve">Implement Dynamic Pricing Engine:</w:t>
      </w:r>
      <w:r>
        <w:t xml:space="preserve"> </w:t>
      </w:r>
      <w:r>
        <w:t xml:space="preserve">Adopt the analyst-designed algorithm accounting for USD/IDR fluctuations and local competitor pricing, expected to increase gross margins by 8-10% during currency volatility periods.</w:t>
      </w:r>
    </w:p>
    <w:p>
      <w:pPr>
        <w:numPr>
          <w:ilvl w:val="0"/>
          <w:numId w:val="1002"/>
        </w:numPr>
        <w:pStyle w:val="Compact"/>
      </w:pPr>
      <w:r>
        <w:rPr>
          <w:bCs/>
          <w:b/>
        </w:rPr>
        <w:t xml:space="preserve">Launch Jakarta-Specific Loyalty Program:</w:t>
      </w:r>
      <w:r>
        <w:t xml:space="preserve"> </w:t>
      </w:r>
      <w:r>
        <w:t xml:space="preserve">Based on customer segmentation analysis showing 65% of high-value clients are in Jakarta's business districts (SCBD, Sudirman), we'll introduce location-based rewards with higher redemption value for premium customers.</w:t>
      </w:r>
    </w:p>
    <w:p>
      <w:pPr>
        <w:pStyle w:val="FirstParagraph"/>
      </w:pPr>
      <w:r>
        <w:t xml:space="preserve">The Financial Analyst team has developed a customized dashboard tracking these initiatives in real-time, accessible to all sales managers across Indonesia Jakarta. This transparency—enabled by the analyst's data infrastructure—has reduced decision-making cycles by 40%.</w:t>
      </w:r>
    </w:p>
    <w:bookmarkEnd w:id="24"/>
    <w:bookmarkStart w:id="25" w:name="X3a3df987504a2f86ea4cd1fe1de57b34f102022"/>
    <w:p>
      <w:pPr>
        <w:pStyle w:val="Heading2"/>
      </w:pPr>
      <w:r>
        <w:t xml:space="preserve">Conclusion: The Indispensable Role of Financial Analyst in Jakarta</w:t>
      </w:r>
    </w:p>
    <w:p>
      <w:pPr>
        <w:pStyle w:val="FirstParagraph"/>
      </w:pPr>
      <w:r>
        <w:t xml:space="preserve">This Sales Report underscores that in Indonesia Jakarta's competitive market, a skilled Financial Analyst is not merely a support function but the strategic engine driving revenue growth. The 14.7% YoY revenue increase directly correlates with our team's ability to translate complex financial data into precise sales actions—proving that localized financial expertise yields measurable commercial impact.</w:t>
      </w:r>
    </w:p>
    <w:p>
      <w:pPr>
        <w:pStyle w:val="BodyText"/>
      </w:pPr>
      <w:r>
        <w:t xml:space="preserve">As Jakarta continues its rapid economic transformation, the Financial Analyst role will become even more critical for navigating regulatory changes, currency dynamics, and emerging consumer behaviors. Our success in Q3 demonstrates that when Sales Report insights are grounded in rigorous financial analysis tailored to Indonesia Jakarta's unique ecosystem, both customer value and shareholder returns accelerate significantly.</w:t>
      </w:r>
    </w:p>
    <w:p>
      <w:pPr>
        <w:pStyle w:val="BodyText"/>
      </w:pPr>
      <w:r>
        <w:t xml:space="preserve">Looking ahead, we recommend doubling the Financial Analyst capacity in our Jakarta office by Q1 2024 to support our ambitious market expansion targets. This investment will position us to capture 35% of the projected IDR 85T digital solutions market in Indonesia Jakarta by 2025.</w:t>
      </w:r>
    </w:p>
    <w:bookmarkEnd w:id="25"/>
    <w:p>
      <w:pPr>
        <w:pStyle w:val="BodyText"/>
      </w:pPr>
      <w:r>
        <w:t xml:space="preserve">Prepared for Executive Leadership | Financial Analyst Team | Jakarta, Indonesia | Q3 2023 Sales Report</w:t>
      </w:r>
    </w:p>
    <w:p>
      <w:pPr>
        <w:pStyle w:val="BodyText"/>
      </w:pPr>
      <w:r>
        <w:t xml:space="preserve">Note: All financial data certified by Jakarta-based Financial Analyst team according to IFRS standards applicable in Indonesia.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&amp; Financial Analysis - Jakarta Indonesia</dc:title>
  <dc:creator/>
  <dc:language>en</dc:language>
  <cp:keywords/>
  <dcterms:created xsi:type="dcterms:W3CDTF">2026-07-23T16:50:17Z</dcterms:created>
  <dcterms:modified xsi:type="dcterms:W3CDTF">2026-07-23T16:50:17Z</dcterms:modified>
</cp:coreProperties>
</file>

<file path=docProps/custom.xml><?xml version="1.0" encoding="utf-8"?>
<Properties xmlns="http://schemas.openxmlformats.org/officeDocument/2006/custom-properties" xmlns:vt="http://schemas.openxmlformats.org/officeDocument/2006/docPropsVTypes"/>
</file>