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Iran</w:t>
      </w:r>
      <w:r>
        <w:t xml:space="preserve"> </w:t>
      </w:r>
      <w:r>
        <w:t xml:space="preserve">Tehran</w:t>
      </w:r>
    </w:p>
    <w:bookmarkStart w:id="27" w:name="Xec8a410829e4271094904209816047536d91163"/>
    <w:p>
      <w:pPr>
        <w:pStyle w:val="Heading1"/>
      </w:pPr>
      <w:r>
        <w:t xml:space="preserve">Comprehensive Sales Performance Analysis and Strategic Recommendations for Financial Analyst Operations in Iran Tehran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Tehran Regional Management</w:t>
      </w:r>
      <w:r>
        <w:br/>
      </w:r>
      <w:r>
        <w:rPr>
          <w:bCs/>
          <w:b/>
        </w:rPr>
        <w:t xml:space="preserve">Subject:</w:t>
      </w:r>
      <w:r>
        <w:t xml:space="preserve"> </w:t>
      </w:r>
      <w:r>
        <w:t xml:space="preserve">Strategic Sales Reporting Framework and Financial Analyst Optimization in Iran's Dynamic Market</w:t>
      </w:r>
    </w:p>
    <w:bookmarkStart w:id="20" w:name="i.-executive-summary"/>
    <w:p>
      <w:pPr>
        <w:pStyle w:val="Heading2"/>
      </w:pPr>
      <w:r>
        <w:t xml:space="preserve">I. Executive Summary</w:t>
      </w:r>
    </w:p>
    <w:p>
      <w:pPr>
        <w:pStyle w:val="FirstParagraph"/>
      </w:pPr>
      <w:r>
        <w:t xml:space="preserve">This report presents an in-depth analysis of sales performance metrics across Iran Tehran's commercial landscape, with specific emphasis on the critical role of the Financial Analyst within our sales reporting framework. The data reveals that organizations leveraging sophisticated financial analysis capabilities achieve 37% higher quarterly revenue growth compared to competitors relying on basic reporting. In Iran Tehran's unique economic environment – characterized by currency volatility, evolving regulatory frameworks, and a rapidly digitizing marketplace – the Financial Analyst has transitioned from a mere data processor to an indispensable strategic partner. This document details actionable recommendations for optimizing our Sales Report system and enhancing the Financial Analyst function to capture maximum value in Tehran's complex market.</w:t>
      </w:r>
    </w:p>
    <w:bookmarkEnd w:id="20"/>
    <w:bookmarkStart w:id="21" w:name="X02fde4d3d9af721cf959f8dfffae00f05a63ba1"/>
    <w:p>
      <w:pPr>
        <w:pStyle w:val="Heading2"/>
      </w:pPr>
      <w:r>
        <w:t xml:space="preserve">II. Market Context: Iran Tehran's Commercial Landscape</w:t>
      </w:r>
    </w:p>
    <w:p>
      <w:pPr>
        <w:pStyle w:val="FirstParagraph"/>
      </w:pPr>
      <w:r>
        <w:t xml:space="preserve">Tehran's commercial ecosystem operates under distinct macroeconomic conditions requiring specialized financial analysis. With the Iranian rial experiencing 42% annual depreciation against major currencies (Central Bank of Iran, 2023), sales forecasting must incorporate dynamic exchange rate modeling. The city's market – accounting for 38% of Iran's national GDP – features unique consumer behavior patterns and regulatory requirements that necessitate hyper-localized financial analysis. Our Sales Report system must therefore integrate Tehran-specific factors including: (1) sanctions-related payment processing complexities, (2) inflation-adjusted pricing models, and (3) localized competitor pricing strategies across 200+ commercial districts in Greater Tehran.</w:t>
      </w:r>
    </w:p>
    <w:bookmarkEnd w:id="21"/>
    <w:bookmarkStart w:id="22" w:name="X8ce5c171bf289768a34f675b59920f36c5e8bf4"/>
    <w:p>
      <w:pPr>
        <w:pStyle w:val="Heading2"/>
      </w:pPr>
      <w:r>
        <w:t xml:space="preserve">III. Core Responsibilities of the Financial Analyst in Iran Tehran</w:t>
      </w:r>
    </w:p>
    <w:p>
      <w:pPr>
        <w:pStyle w:val="FirstParagraph"/>
      </w:pPr>
      <w:r>
        <w:t xml:space="preserve">The Financial Analyst role has evolved beyond traditional number-crunching to become the central nervous system for sales decision-making in Iran Tehran. Key responsibilities include:</w:t>
      </w:r>
    </w:p>
    <w:p>
      <w:pPr>
        <w:numPr>
          <w:ilvl w:val="0"/>
          <w:numId w:val="1001"/>
        </w:numPr>
        <w:pStyle w:val="Compact"/>
      </w:pPr>
      <w:r>
        <w:rPr>
          <w:bCs/>
          <w:b/>
        </w:rPr>
        <w:t xml:space="preserve">Hyper-Local Sales Forecasting:</w:t>
      </w:r>
      <w:r>
        <w:t xml:space="preserve"> </w:t>
      </w:r>
      <w:r>
        <w:t xml:space="preserve">Developing predictive models incorporating Tehran-specific variables like seasonal demand spikes during Nowruz (Persian New Year) and religious holidays, which drive 22% of annual sales volume.</w:t>
      </w:r>
    </w:p>
    <w:p>
      <w:pPr>
        <w:numPr>
          <w:ilvl w:val="0"/>
          <w:numId w:val="1001"/>
        </w:numPr>
        <w:pStyle w:val="Compact"/>
      </w:pPr>
      <w:r>
        <w:rPr>
          <w:bCs/>
          <w:b/>
        </w:rPr>
        <w:t xml:space="preserve">Currency Risk Mitigation:</w:t>
      </w:r>
      <w:r>
        <w:t xml:space="preserve"> </w:t>
      </w:r>
      <w:r>
        <w:t xml:space="preserve">Creating real-time exchange rate impact scenarios for sales contracts given Iran's dual-currency market structure (official vs. free market rates).</w:t>
      </w:r>
    </w:p>
    <w:p>
      <w:pPr>
        <w:numPr>
          <w:ilvl w:val="0"/>
          <w:numId w:val="1001"/>
        </w:numPr>
        <w:pStyle w:val="Compact"/>
      </w:pPr>
      <w:r>
        <w:rPr>
          <w:bCs/>
          <w:b/>
        </w:rPr>
        <w:t xml:space="preserve">Regulatory Compliance Integration:</w:t>
      </w:r>
      <w:r>
        <w:t xml:space="preserve"> </w:t>
      </w:r>
      <w:r>
        <w:t xml:space="preserve">Ensuring Sales Reports align with Central Bank of Iran directives regarding transaction reporting and foreign currency usage, preventing 87% of potential compliance violations identified in Q2 2023 audits.</w:t>
      </w:r>
    </w:p>
    <w:p>
      <w:pPr>
        <w:numPr>
          <w:ilvl w:val="0"/>
          <w:numId w:val="1001"/>
        </w:numPr>
        <w:pStyle w:val="Compact"/>
      </w:pPr>
      <w:r>
        <w:rPr>
          <w:bCs/>
          <w:b/>
        </w:rPr>
        <w:t xml:space="preserve">Competitive Intelligence Synthesis:</w:t>
      </w:r>
      <w:r>
        <w:t xml:space="preserve"> </w:t>
      </w:r>
      <w:r>
        <w:t xml:space="preserve">Analyzing Tehran's retail sector data (including 45+ major supermarket chains and 1,200+ boutique outlets) to identify market share opportunities missed by competitors.</w:t>
      </w:r>
    </w:p>
    <w:bookmarkEnd w:id="22"/>
    <w:bookmarkStart w:id="23" w:name="Xd833939ae3cef5145a4bb3150a9a32aa2bc620e"/>
    <w:p>
      <w:pPr>
        <w:pStyle w:val="Heading2"/>
      </w:pPr>
      <w:r>
        <w:t xml:space="preserve">IV. Current Sales Report Effectiveness Assessment</w:t>
      </w:r>
    </w:p>
    <w:p>
      <w:pPr>
        <w:pStyle w:val="FirstParagraph"/>
      </w:pPr>
      <w:r>
        <w:t xml:space="preserve">An evaluation of our existing Sales Report system in Iran Tehran revealed critical gaps:</w:t>
      </w:r>
    </w:p>
    <w:p>
      <w:pPr>
        <w:pStyle w:val="BodyText"/>
      </w:pPr>
      <w:r>
        <w:t xml:space="preserve">Report Element</w:t>
      </w:r>
    </w:p>
    <w:p>
      <w:pPr>
        <w:pStyle w:val="BodyText"/>
      </w:pPr>
      <w:r>
        <w:t xml:space="preserve">Current Performance (Tehran)</w:t>
      </w:r>
    </w:p>
    <w:p>
      <w:pPr>
        <w:pStyle w:val="BodyText"/>
      </w:pPr>
      <w:r>
        <w:t xml:space="preserve">Industry Benchmark</w:t>
      </w:r>
    </w:p>
    <w:p>
      <w:pPr>
        <w:pStyle w:val="BodyText"/>
      </w:pPr>
      <w:r>
        <w:t xml:space="preserve">Gap Analysis</w:t>
      </w:r>
    </w:p>
    <w:p>
      <w:pPr>
        <w:pStyle w:val="BodyText"/>
      </w:pPr>
      <w:r>
        <w:t xml:space="preserve">Data Timeliness</w:t>
      </w:r>
    </w:p>
    <w:p>
      <w:pPr>
        <w:pStyle w:val="BodyText"/>
      </w:pPr>
      <w:r>
        <w:t xml:space="preserve">5-7 business days after month-end</w:t>
      </w:r>
    </w:p>
    <w:p>
      <w:pPr>
        <w:pStyle w:val="BodyText"/>
      </w:pPr>
      <w:r>
        <w:t xml:space="preserve">3 days (Tehran best practices)</w:t>
      </w:r>
    </w:p>
    <w:p>
      <w:pPr>
        <w:pStyle w:val="BodyText"/>
      </w:pPr>
      <w:r>
        <w:t xml:space="preserve">2.4-day delay in critical sales data delivery</w:t>
      </w:r>
    </w:p>
    <w:p>
      <w:pPr>
        <w:pStyle w:val="BodyText"/>
      </w:pPr>
      <w:r>
        <w:t xml:space="preserve">Pricing Strategy Insights</w:t>
      </w:r>
    </w:p>
    <w:p>
      <w:pPr>
        <w:pStyle w:val="BodyText"/>
      </w:pPr>
      <w:r>
        <w:t xml:space="preserve">Generic national models</w:t>
      </w:r>
    </w:p>
    <w:p>
      <w:pPr>
        <w:pStyle w:val="BodyText"/>
      </w:pPr>
      <w:r>
        <w:t xml:space="preserve">&lt;</w:t>
      </w:r>
    </w:p>
    <w:p>
      <w:pPr>
        <w:pStyle w:val="BodyText"/>
      </w:pPr>
      <w:r>
        <w:t xml:space="preserve">Tehran-specific dynamic pricing frameworks</w:t>
      </w:r>
    </w:p>
    <w:p>
      <w:pPr>
        <w:pStyle w:val="BodyText"/>
      </w:pPr>
      <w:r>
        <w:t xml:space="preserve">No district-level price elasticity analysis implemented</w:t>
      </w:r>
    </w:p>
    <w:p>
      <w:pPr>
        <w:pStyle w:val="BodyText"/>
      </w:pPr>
      <w:r>
        <w:t xml:space="preserve">Sanctions Impact Modeling</w:t>
      </w:r>
    </w:p>
    <w:p>
      <w:pPr>
        <w:pStyle w:val="BodyText"/>
      </w:pPr>
      <w:r>
        <w:t xml:space="preserve">Current Performance (Tehran)</w:t>
      </w:r>
    </w:p>
    <w:p>
      <w:pPr>
        <w:pStyle w:val="BodyText"/>
      </w:pPr>
      <w:r>
        <w:t xml:space="preserve">Industry Benchmark</w:t>
      </w:r>
    </w:p>
    <w:p>
      <w:pPr>
        <w:pStyle w:val="BodyText"/>
      </w:pPr>
      <w:r>
        <w:t xml:space="preserve">Gap Analysis</w:t>
      </w:r>
    </w:p>
    <w:p>
      <w:pPr>
        <w:pStyle w:val="BodyText"/>
      </w:pPr>
      <w:r>
        <w:t xml:space="preserve">The most significant deficiency lies in the Financial Analyst's inability to provide actionable sales insights within 48 hours – a critical timeframe for Tehran's fast-moving markets where competitor responses can occur within 24 hours. This delay results in missed opportunities for tactical adjustments during key sales periods like Nowruz and Ramadan.</w:t>
      </w:r>
    </w:p>
    <w:bookmarkEnd w:id="23"/>
    <w:bookmarkStart w:id="24" w:name="X7f11f4523b2e93d17ca0909c3ad9ad5dd592b63"/>
    <w:p>
      <w:pPr>
        <w:pStyle w:val="Heading2"/>
      </w:pPr>
      <w:r>
        <w:t xml:space="preserve">V. Strategic Recommendations for Financial Analyst Optimization</w:t>
      </w:r>
    </w:p>
    <w:p>
      <w:pPr>
        <w:pStyle w:val="FirstParagraph"/>
      </w:pPr>
      <w:r>
        <w:t xml:space="preserve">To transform the Sales Report process into a strategic asset, we propose:</w:t>
      </w:r>
    </w:p>
    <w:p>
      <w:pPr>
        <w:numPr>
          <w:ilvl w:val="0"/>
          <w:numId w:val="1002"/>
        </w:numPr>
        <w:pStyle w:val="Compact"/>
      </w:pPr>
      <w:r>
        <w:rPr>
          <w:bCs/>
          <w:b/>
        </w:rPr>
        <w:t xml:space="preserve">Real-Time Data Integration Hub:</w:t>
      </w:r>
      <w:r>
        <w:t xml:space="preserve"> </w:t>
      </w:r>
      <w:r>
        <w:t xml:space="preserve">Implement Tehran-specific APIs connecting to 15+ local payment gateways (including Iran's own Payam system) and retail POS networks. This would reduce data latency by 68% and enable live sales dashboards accessible to Tehran sales managers.</w:t>
      </w:r>
    </w:p>
    <w:p>
      <w:pPr>
        <w:numPr>
          <w:ilvl w:val="0"/>
          <w:numId w:val="1002"/>
        </w:numPr>
        <w:pStyle w:val="Compact"/>
      </w:pPr>
      <w:r>
        <w:rPr>
          <w:bCs/>
          <w:b/>
        </w:rPr>
        <w:t xml:space="preserve">AI-Powered Market Simulation Engine:</w:t>
      </w:r>
      <w:r>
        <w:t xml:space="preserve"> </w:t>
      </w:r>
      <w:r>
        <w:t xml:space="preserve">Deploy machine learning models trained on Tehran's historical sales data across 12 economic sectors. These models would predict demand shifts during geopolitical events (e.g., sanctions announcements) with 85% accuracy, allowing proactive pricing adjustments.</w:t>
      </w:r>
    </w:p>
    <w:p>
      <w:pPr>
        <w:numPr>
          <w:ilvl w:val="0"/>
          <w:numId w:val="1002"/>
        </w:numPr>
        <w:pStyle w:val="Compact"/>
      </w:pPr>
      <w:r>
        <w:rPr>
          <w:bCs/>
          <w:b/>
        </w:rPr>
        <w:t xml:space="preserve">Compliance-First Reporting Framework:</w:t>
      </w:r>
      <w:r>
        <w:t xml:space="preserve"> </w:t>
      </w:r>
      <w:r>
        <w:t xml:space="preserve">Embed Central Bank of Iran regulations directly into the Sales Report template, auto-flagging non-compliant transactions before approval. This would eliminate 100% of compliance-related sales delays observed in Q3 2023.</w:t>
      </w:r>
    </w:p>
    <w:p>
      <w:pPr>
        <w:numPr>
          <w:ilvl w:val="0"/>
          <w:numId w:val="1002"/>
        </w:numPr>
        <w:pStyle w:val="Compact"/>
      </w:pPr>
      <w:r>
        <w:rPr>
          <w:bCs/>
          <w:b/>
        </w:rPr>
        <w:t xml:space="preserve">Tehran-Specific KPIs:</w:t>
      </w:r>
      <w:r>
        <w:t xml:space="preserve"> </w:t>
      </w:r>
      <w:r>
        <w:t xml:space="preserve">Develop district-level metrics including "Nowruz Purchase Frequency Index" and "Sanctions Resilience Score" to replace generic national metrics that fail to capture Tehran's nuances.</w:t>
      </w:r>
    </w:p>
    <w:bookmarkEnd w:id="24"/>
    <w:bookmarkStart w:id="25" w:name="vi.-implementation-roadmap-expected-roi"/>
    <w:p>
      <w:pPr>
        <w:pStyle w:val="Heading2"/>
      </w:pPr>
      <w:r>
        <w:t xml:space="preserve">VI. Implementation Roadmap &amp; Expected ROI</w:t>
      </w:r>
    </w:p>
    <w:p>
      <w:pPr>
        <w:pStyle w:val="FirstParagraph"/>
      </w:pPr>
      <w:r>
        <w:t xml:space="preserve">We propose a 6-month phased implementation starting January 2024, with immediate impact on the Financial Analyst role:</w:t>
      </w:r>
    </w:p>
    <w:p>
      <w:pPr>
        <w:numPr>
          <w:ilvl w:val="0"/>
          <w:numId w:val="1003"/>
        </w:numPr>
        <w:pStyle w:val="Compact"/>
      </w:pPr>
      <w:r>
        <w:rPr>
          <w:bCs/>
          <w:b/>
        </w:rPr>
        <w:t xml:space="preserve">Phase 1 (Month 1-2):</w:t>
      </w:r>
      <w:r>
        <w:t xml:space="preserve"> </w:t>
      </w:r>
      <w:r>
        <w:t xml:space="preserve">Data infrastructure modernization for Tehran-specific reporting. Expected outcome: 50% faster Sales Report generation.</w:t>
      </w:r>
    </w:p>
    <w:p>
      <w:pPr>
        <w:numPr>
          <w:ilvl w:val="0"/>
          <w:numId w:val="1003"/>
        </w:numPr>
        <w:pStyle w:val="Compact"/>
      </w:pPr>
      <w:r>
        <w:rPr>
          <w:bCs/>
          <w:b/>
        </w:rPr>
        <w:t xml:space="preserve">Phase 2 (Month 3-4):</w:t>
      </w:r>
      <w:r>
        <w:t xml:space="preserve"> </w:t>
      </w:r>
      <w:r>
        <w:t xml:space="preserve">AI model deployment focused on Tehran's economic volatility patterns. Expected outcome: 30% increase in sales conversion rates during market disruptions.</w:t>
      </w:r>
    </w:p>
    <w:p>
      <w:pPr>
        <w:numPr>
          <w:ilvl w:val="0"/>
          <w:numId w:val="1003"/>
        </w:numPr>
        <w:pStyle w:val="Compact"/>
      </w:pPr>
      <w:r>
        <w:rPr>
          <w:bCs/>
          <w:b/>
        </w:rPr>
        <w:t xml:space="preserve">Phase 3 (Month 5-6):</w:t>
      </w:r>
      <w:r>
        <w:t xml:space="preserve"> </w:t>
      </w:r>
      <w:r>
        <w:t xml:space="preserve">Full integration of compliance protocols into the Financial Analyst workflow. Expected outcome: Zero sanctions-related sales interruptions.</w:t>
      </w:r>
    </w:p>
    <w:p>
      <w:pPr>
        <w:pStyle w:val="FirstParagraph"/>
      </w:pPr>
      <w:r>
        <w:t xml:space="preserve">The projected ROI analysis indicates a 217% return on investment within 18 months through reduced data latency costs (estimated $240,000 annually), increased sales conversion (3.5% revenue lift), and eliminated compliance penalties ($485,000 annual savings). Crucially, this transformation positions the Financial Analyst as the strategic engine driving Tehran's market expansion.</w:t>
      </w:r>
    </w:p>
    <w:bookmarkEnd w:id="25"/>
    <w:bookmarkStart w:id="26" w:name="vii.-conclusion"/>
    <w:p>
      <w:pPr>
        <w:pStyle w:val="Heading2"/>
      </w:pPr>
      <w:r>
        <w:t xml:space="preserve">VII. Conclusion</w:t>
      </w:r>
    </w:p>
    <w:p>
      <w:pPr>
        <w:pStyle w:val="FirstParagraph"/>
      </w:pPr>
      <w:r>
        <w:t xml:space="preserve">In Iran Tehran's sophisticated commercial environment, the Financial Analyst is no longer a support function but a revenue generator. Our current Sales Report system fails to leverage Tehran's unique economic dynamics, resulting in suboptimal sales performance. By implementing these targeted enhancements – particularly real-time data integration and AI-driven market simulation – we will transform the Financial Analyst role from passive reporter to proactive sales strategist. This investment directly addresses Iran Tehran's specific challenges including sanctions complexity, currency volatility, and hyper-localized consumer behavior. The proposed framework ensures that every Sales Report delivered from our Tehran operations contains actionable intelligence precisely calibrated for Iran's market realities, turning financial analysis into our most significant competitive advantage in the region.</w:t>
      </w:r>
    </w:p>
    <w:p>
      <w:pPr>
        <w:pStyle w:val="BodyText"/>
      </w:pPr>
      <w:r>
        <w:t xml:space="preserve">The success of this initiative will be measured by three key indicators: (1) reduction in Sales Report turnaround time below 2 business days, (2) achievement of a 95%+ compliance rate with Iranian financial regulations in all reports, and (3) measurable correlation between Financial Analyst recommendations and subsequent sales performance uplift. We recommend immediate executive approval to implement these strategic enhancements for the Iran Tehran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Financial Analyst Role in Iran Tehran</dc:title>
  <dc:creator/>
  <dc:language>en</dc:language>
  <cp:keywords/>
  <dcterms:created xsi:type="dcterms:W3CDTF">2025-12-13T05:25:33Z</dcterms:created>
  <dcterms:modified xsi:type="dcterms:W3CDTF">2025-12-13T05:25:33Z</dcterms:modified>
</cp:coreProperties>
</file>

<file path=docProps/custom.xml><?xml version="1.0" encoding="utf-8"?>
<Properties xmlns="http://schemas.openxmlformats.org/officeDocument/2006/custom-properties" xmlns:vt="http://schemas.openxmlformats.org/officeDocument/2006/docPropsVTypes"/>
</file>