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&amp;</w:t>
      </w:r>
      <w:r>
        <w:t xml:space="preserve"> </w:t>
      </w:r>
      <w:r>
        <w:t xml:space="preserve">Strategic</w:t>
      </w:r>
      <w:r>
        <w:t xml:space="preserve"> </w:t>
      </w:r>
      <w:r>
        <w:t xml:space="preserve">Insights:</w:t>
      </w:r>
      <w:r>
        <w:t xml:space="preserve"> </w:t>
      </w:r>
      <w:r>
        <w:t xml:space="preserve">Financial</w:t>
      </w:r>
      <w:r>
        <w:t xml:space="preserve"> </w:t>
      </w:r>
      <w:r>
        <w:t xml:space="preserve">Analyst</w:t>
      </w:r>
      <w:r>
        <w:t xml:space="preserve"> </w:t>
      </w:r>
      <w:r>
        <w:t xml:space="preserve">Perspective</w:t>
      </w:r>
      <w:r>
        <w:t xml:space="preserve"> </w:t>
      </w:r>
      <w:r>
        <w:t xml:space="preserve">for</w:t>
      </w:r>
      <w:r>
        <w:t xml:space="preserve"> </w:t>
      </w:r>
      <w:r>
        <w:t xml:space="preserve">Italy</w:t>
      </w:r>
      <w:r>
        <w:t xml:space="preserve"> </w:t>
      </w:r>
      <w:r>
        <w:t xml:space="preserve">Milan</w:t>
      </w:r>
    </w:p>
    <w:bookmarkStart w:id="26" w:name="Xbb05e3c47b3893e1b71bf4a56dad7a36dd99f35"/>
    <w:p>
      <w:pPr>
        <w:pStyle w:val="Heading1"/>
      </w:pPr>
      <w:r>
        <w:t xml:space="preserve">Q3 2024 Sales Performance Report &amp; Strategic Insights: Financial Analyst Perspective for Italy Milan</w:t>
      </w:r>
    </w:p>
    <w:p>
      <w:pPr>
        <w:pStyle w:val="FirstParagraph"/>
      </w:pPr>
      <w:r>
        <w:rPr>
          <w:bCs/>
          <w:b/>
        </w:rPr>
        <w:t xml:space="preserve">Prepared For:</w:t>
      </w:r>
      <w:r>
        <w:t xml:space="preserve"> </w:t>
      </w:r>
      <w:r>
        <w:t xml:space="preserve">Senior Leadership, Sales Strategy Committee, and Executive Team</w:t>
      </w:r>
      <w:r>
        <w:br/>
      </w:r>
      <w:r>
        <w:rPr>
          <w:bCs/>
          <w:b/>
        </w:rPr>
        <w:t xml:space="preserve">Date:</w:t>
      </w:r>
      <w:r>
        <w:t xml:space="preserve"> </w:t>
      </w:r>
      <w:r>
        <w:t xml:space="preserve">October 26, 2024</w:t>
      </w:r>
      <w:r>
        <w:br/>
      </w:r>
      <w:r>
        <w:rPr>
          <w:bCs/>
          <w:b/>
        </w:rPr>
        <w:t xml:space="preserve">Prepared By:</w:t>
      </w:r>
      <w:r>
        <w:t xml:space="preserve"> </w:t>
      </w:r>
      <w:r>
        <w:t xml:space="preserve">Financial Analysis Department, Milan Office</w:t>
      </w:r>
    </w:p>
    <w:bookmarkStart w:id="20" w:name="executive-summary"/>
    <w:p>
      <w:pPr>
        <w:pStyle w:val="Heading2"/>
      </w:pPr>
      <w:r>
        <w:t xml:space="preserve">Executive Summary</w:t>
      </w:r>
    </w:p>
    <w:p>
      <w:pPr>
        <w:pStyle w:val="FirstParagraph"/>
      </w:pPr>
      <w:r>
        <w:t xml:space="preserve">This comprehensive Sales Report details Q3 2024 performance metrics across key verticals in the Italy Milan market, synthesizing data through the critical lens of our Financial Analyst team. As the financial heartbeat of our Italian operations, this document underscores how strategic insights generated by Financial Analysts directly drive sales optimization and revenue growth in one of Europe’s most dynamic business hubs. The report confirms a 12.7% year-over-year increase in Milan-focused sales revenue, outperforming both national averages (8.3%) and the broader EU market (6.1%). Crucially, this success is attributed to data-driven recommendations from our dedicated Financial Analysts, who identified high-potential segments within Italy Milan’s unique economic ecosystem.</w:t>
      </w:r>
    </w:p>
    <w:bookmarkEnd w:id="20"/>
    <w:bookmarkStart w:id="21" w:name="X2458e7a7cc32a8a114aa230d02e37f41f08c956"/>
    <w:p>
      <w:pPr>
        <w:pStyle w:val="Heading2"/>
      </w:pPr>
      <w:r>
        <w:t xml:space="preserve">Regional Performance: Italy Milan Market Dynamics</w:t>
      </w:r>
    </w:p>
    <w:p>
      <w:pPr>
        <w:pStyle w:val="FirstParagraph"/>
      </w:pPr>
      <w:r>
        <w:t xml:space="preserve">Milan continues to solidify its position as Italy’s undisputed financial and commercial epicenter. The Q3 2024 Sales Report highlights that our Milan office contributed 38% of total Italy revenue, reflecting the city's dominance in luxury goods, fintech innovation, and B2B industrial services—sectors where our Financial Analysts identified untapped opportunities early this year. Key regional insights include:</w:t>
      </w:r>
    </w:p>
    <w:p>
      <w:pPr>
        <w:numPr>
          <w:ilvl w:val="0"/>
          <w:numId w:val="1001"/>
        </w:numPr>
        <w:pStyle w:val="Compact"/>
      </w:pPr>
      <w:r>
        <w:rPr>
          <w:bCs/>
          <w:b/>
        </w:rPr>
        <w:t xml:space="preserve">Luxury &amp; Retail Vertical:</w:t>
      </w:r>
      <w:r>
        <w:t xml:space="preserve"> </w:t>
      </w:r>
      <w:r>
        <w:t xml:space="preserve">19% YoY growth driven by data from Financial Analysts correlating Milan’s tourism rebound (72% above 2023 levels) with premium client acquisition strategies.</w:t>
      </w:r>
    </w:p>
    <w:p>
      <w:pPr>
        <w:numPr>
          <w:ilvl w:val="0"/>
          <w:numId w:val="1001"/>
        </w:numPr>
        <w:pStyle w:val="Compact"/>
      </w:pPr>
      <w:r>
        <w:rPr>
          <w:bCs/>
          <w:b/>
        </w:rPr>
        <w:t xml:space="preserve">B2B Industrial Segment:</w:t>
      </w:r>
      <w:r>
        <w:t xml:space="preserve"> </w:t>
      </w:r>
      <w:r>
        <w:t xml:space="preserve">15% growth in Milan-based manufacturing clients after Financial Analysts identified supply chain resilience trends during the Q3 geopolitical volatility, enabling targeted outreach.</w:t>
      </w:r>
    </w:p>
    <w:bookmarkEnd w:id="21"/>
    <w:bookmarkStart w:id="22" w:name="Xa78fdcc5685ac9ddcadf846b5cdc48e4ee9565e"/>
    <w:p>
      <w:pPr>
        <w:pStyle w:val="Heading2"/>
      </w:pPr>
      <w:r>
        <w:t xml:space="preserve">The Strategic Role of the Financial Analyst in Driving Milan Sales Outcomes</w:t>
      </w:r>
    </w:p>
    <w:p>
      <w:pPr>
        <w:pStyle w:val="FirstParagraph"/>
      </w:pPr>
      <w:r>
        <w:t xml:space="preserve">This Sales Report exemplifies how our Financial Analyst team transforms raw data into actionable sales intelligence. In Italy Milan, where market competition is intense and client expectations are elevated, the Financial Analyst’s role transcends traditional number-crunching. For Q3 2024, our Milan-based Financial Analysts executed:</w:t>
      </w:r>
    </w:p>
    <w:p>
      <w:pPr>
        <w:numPr>
          <w:ilvl w:val="0"/>
          <w:numId w:val="1002"/>
        </w:numPr>
        <w:pStyle w:val="Compact"/>
      </w:pPr>
      <w:r>
        <w:rPr>
          <w:bCs/>
          <w:b/>
        </w:rPr>
        <w:t xml:space="preserve">Real-Time Market Analytics:</w:t>
      </w:r>
      <w:r>
        <w:t xml:space="preserve"> </w:t>
      </w:r>
      <w:r>
        <w:t xml:space="preserve">Monitoring Piazza Affari trading patterns to predict client cash flow cycles, allowing Sales to time proposals during peak investment windows.</w:t>
      </w:r>
    </w:p>
    <w:p>
      <w:pPr>
        <w:numPr>
          <w:ilvl w:val="0"/>
          <w:numId w:val="1002"/>
        </w:numPr>
        <w:pStyle w:val="Compact"/>
      </w:pPr>
      <w:r>
        <w:rPr>
          <w:bCs/>
          <w:b/>
        </w:rPr>
        <w:t xml:space="preserve">Risk-Adjusted Pricing Models:</w:t>
      </w:r>
      <w:r>
        <w:t xml:space="preserve"> </w:t>
      </w:r>
      <w:r>
        <w:t xml:space="preserve">Developing dynamic pricing strategies for Milan clients using inflation data (12.4% YoY in Lombardy), protecting margins while maintaining competitiveness.</w:t>
      </w:r>
    </w:p>
    <w:p>
      <w:pPr>
        <w:pStyle w:val="FirstParagraph"/>
      </w:pPr>
      <w:r>
        <w:t xml:space="preserve">Critical to Italy Milan’s success, the Financial Analysts embedded themselves within the Sales team during Q3. This collaboration ensured insights were delivered contextually: e.g., when analyzing a lull in Q2 sales for fashion clients, the Financial Analyst identified Milan Fashion Week timing as a key variable—leading to a 35% spike in Q3 appointments.</w:t>
      </w:r>
    </w:p>
    <w:bookmarkEnd w:id="22"/>
    <w:bookmarkStart w:id="23" w:name="key-metrics-data-driven-insights"/>
    <w:p>
      <w:pPr>
        <w:pStyle w:val="Heading2"/>
      </w:pPr>
      <w:r>
        <w:t xml:space="preserve">Key Metrics &amp; Data-Driven Insights</w:t>
      </w:r>
    </w:p>
    <w:p>
      <w:pPr>
        <w:pStyle w:val="FirstParagraph"/>
      </w:pPr>
      <w:r>
        <w:t xml:space="preserve">The following metrics, generated by our Milan Financial Analysts, form the backbone of this Sales Report:</w:t>
      </w:r>
    </w:p>
    <w:p>
      <w:pPr>
        <w:pStyle w:val="BodyText"/>
      </w:pPr>
      <w:r>
        <w:t xml:space="preserve">Performance Metric</w:t>
      </w:r>
    </w:p>
    <w:p>
      <w:pPr>
        <w:pStyle w:val="BodyText"/>
      </w:pPr>
      <w:r>
        <w:t xml:space="preserve">Q3 2024 (Milan)</w:t>
      </w:r>
    </w:p>
    <w:p>
      <w:pPr>
        <w:pStyle w:val="BodyText"/>
      </w:pPr>
      <w:r>
        <w:t xml:space="preserve">YoY Change</w:t>
      </w:r>
    </w:p>
    <w:p>
      <w:pPr>
        <w:pStyle w:val="BodyText"/>
      </w:pPr>
      <w:r>
        <w:t xml:space="preserve">Analyst Insight Driver</w:t>
      </w:r>
    </w:p>
    <w:p>
      <w:pPr>
        <w:pStyle w:val="BodyText"/>
      </w:pPr>
      <w:r>
        <w:t xml:space="preserve">Total Sales Revenue</w:t>
      </w:r>
    </w:p>
    <w:p>
      <w:pPr>
        <w:pStyle w:val="BodyText"/>
      </w:pPr>
      <w:r>
        <w:t xml:space="preserve">€18.7M</w:t>
      </w:r>
    </w:p>
    <w:p>
      <w:pPr>
        <w:pStyle w:val="BodyText"/>
      </w:pPr>
      <w:r>
        <w:t xml:space="preserve">+12.7%</w:t>
      </w:r>
    </w:p>
    <w:p>
      <w:pPr>
        <w:pStyle w:val="BodyText"/>
      </w:pPr>
      <w:r>
        <w:t xml:space="preserve">Post-EU Green Deal incentives; Financial Analysts pinpointed compliance-related upsell opportunities.</w:t>
      </w:r>
    </w:p>
    <w:p>
      <w:pPr>
        <w:pStyle w:val="BodyText"/>
      </w:pPr>
      <w:r>
        <w:t xml:space="preserve">New Client Acquisition Rate</w:t>
      </w:r>
    </w:p>
    <w:p>
      <w:pPr>
        <w:pStyle w:val="BodyText"/>
      </w:pPr>
      <w:r>
        <w:t xml:space="preserve">42% (Milan)</w:t>
      </w:r>
    </w:p>
    <w:p>
      <w:pPr>
        <w:pStyle w:val="BodyText"/>
      </w:pPr>
      <w:r>
        <w:t xml:space="preserve">+18.3%</w:t>
      </w:r>
    </w:p>
    <w:p>
      <w:pPr>
        <w:pStyle w:val="BodyText"/>
      </w:pPr>
      <w:r>
        <w:rPr>
          <w:bCs/>
          <w:b/>
        </w:rPr>
        <w:t xml:space="preserve">Financial Analyst Input:</w:t>
      </w:r>
      <w:r>
        <w:t xml:space="preserve"> </w:t>
      </w:r>
      <w:r>
        <w:t xml:space="preserve">Data showed Milan startups were 27% more likely to engage when presented with ROI scenarios aligned to Bocconi University business trends.</w:t>
      </w:r>
    </w:p>
    <w:p>
      <w:pPr>
        <w:pStyle w:val="BodyText"/>
      </w:pPr>
      <w:r>
        <w:t xml:space="preserve">Client Retention Rate</w:t>
      </w:r>
    </w:p>
    <w:p>
      <w:pPr>
        <w:pStyle w:val="BodyText"/>
      </w:pPr>
      <w:r>
        <w:t xml:space="preserve">89.4%</w:t>
      </w:r>
    </w:p>
    <w:p>
      <w:pPr>
        <w:pStyle w:val="BodyText"/>
      </w:pPr>
      <w:r>
        <w:t xml:space="preserve">+6.1%</w:t>
      </w:r>
    </w:p>
    <w:p>
      <w:pPr>
        <w:pStyle w:val="BodyText"/>
      </w:pPr>
      <w:r>
        <w:rPr>
          <w:bCs/>
          <w:b/>
        </w:rPr>
        <w:t xml:space="preserve">Financial Analyst Input:</w:t>
      </w:r>
      <w:r>
        <w:t xml:space="preserve"> </w:t>
      </w:r>
      <w:r>
        <w:t xml:space="preserve">Predictive churn models flagged 12 key accounts; proactive retention strategies saved €2.3M in potential revenue loss.</w:t>
      </w:r>
    </w:p>
    <w:bookmarkEnd w:id="23"/>
    <w:bookmarkStart w:id="24" w:name="strategic-recommendations-for-q4-2024"/>
    <w:p>
      <w:pPr>
        <w:pStyle w:val="Heading2"/>
      </w:pPr>
      <w:r>
        <w:t xml:space="preserve">Strategic Recommendations for Q4 2024</w:t>
      </w:r>
    </w:p>
    <w:p>
      <w:pPr>
        <w:pStyle w:val="FirstParagraph"/>
      </w:pPr>
      <w:r>
        <w:t xml:space="preserve">Based on deep-dive analysis by our Financial Analysts, we recommend three action areas to capitalize on Milan’s momentum:</w:t>
      </w:r>
    </w:p>
    <w:p>
      <w:pPr>
        <w:numPr>
          <w:ilvl w:val="0"/>
          <w:numId w:val="1003"/>
        </w:numPr>
        <w:pStyle w:val="Compact"/>
      </w:pPr>
      <w:r>
        <w:rPr>
          <w:bCs/>
          <w:b/>
        </w:rPr>
        <w:t xml:space="preserve">Expand Fintech Sales with Regulatory Agility:</w:t>
      </w:r>
      <w:r>
        <w:t xml:space="preserve"> </w:t>
      </w:r>
      <w:r>
        <w:t xml:space="preserve">Leverage the Financial Analysts’ forecast of Q4 EU crypto regulation updates. Target Milan fintech firms needing MiCA compliance solutions (projected 22% market growth).</w:t>
      </w:r>
    </w:p>
    <w:p>
      <w:pPr>
        <w:numPr>
          <w:ilvl w:val="0"/>
          <w:numId w:val="1003"/>
        </w:numPr>
        <w:pStyle w:val="Compact"/>
      </w:pPr>
      <w:r>
        <w:rPr>
          <w:bCs/>
          <w:b/>
        </w:rPr>
        <w:t xml:space="preserve">Optimize Seasonal Sales Cycles:</w:t>
      </w:r>
      <w:r>
        <w:t xml:space="preserve"> </w:t>
      </w:r>
      <w:r>
        <w:t xml:space="preserve">Financial Analysts identified a 31% revenue dip in August due to Milan’s summer exodus. Implement "Winter Campaign" bundles for high-margin services to offset seasonal softness.</w:t>
      </w:r>
    </w:p>
    <w:p>
      <w:pPr>
        <w:numPr>
          <w:ilvl w:val="0"/>
          <w:numId w:val="1003"/>
        </w:numPr>
        <w:pStyle w:val="Compact"/>
      </w:pPr>
      <w:r>
        <w:rPr>
          <w:bCs/>
          <w:b/>
        </w:rPr>
        <w:t xml:space="preserve">Strengthen Milan University Partnerships:</w:t>
      </w:r>
      <w:r>
        <w:t xml:space="preserve"> </w:t>
      </w:r>
      <w:r>
        <w:t xml:space="preserve">Collaborate with Bocconi and Politecnico de Milano using Financial Analysts’ data showing 68% of Milan’s new business leaders cite academic partnerships as trust-builders.</w:t>
      </w:r>
    </w:p>
    <w:bookmarkEnd w:id="24"/>
    <w:bookmarkStart w:id="25" w:name="X840cd3282acfe7f31b883a584349f2dcc5690cd"/>
    <w:p>
      <w:pPr>
        <w:pStyle w:val="Heading2"/>
      </w:pPr>
      <w:r>
        <w:t xml:space="preserve">Conclusion: The Financial Analyst as Sales Catalyst in Italy Milan</w:t>
      </w:r>
    </w:p>
    <w:p>
      <w:pPr>
        <w:pStyle w:val="FirstParagraph"/>
      </w:pPr>
      <w:r>
        <w:t xml:space="preserve">This Sales Report unequivocally demonstrates that the Financial Analyst is not a support function but the strategic engine behind our Milan success. In Italy’s complex, high-stakes business environment, where GDPR compliance, Eurozone volatility, and luxury market nuances dictate outcomes, the Financial Analyst team delivers precision insights that sales teams cannot replicate alone. The Q3 results prove this synergy: 78% of top-performing Milan sales campaigns were directly informed by Financial Analyst data. As Milan cements its status as Europe’s innovation corridor, our commitment to integrating Financial Analyst rigor into every Sales initiative will ensure sustained leadership in Italy Milan and beyond.</w:t>
      </w:r>
    </w:p>
    <w:p>
      <w:pPr>
        <w:pStyle w:val="BodyText"/>
      </w:pPr>
      <w:r>
        <w:rPr>
          <w:bCs/>
          <w:b/>
        </w:rPr>
        <w:t xml:space="preserve">Final Note:</w:t>
      </w:r>
      <w:r>
        <w:t xml:space="preserve"> </w:t>
      </w:r>
      <w:r>
        <w:t xml:space="preserve">The Financial Analyst team is currently finalizing a predictive model for Q4 2024, leveraging Milan’s unique economic indicators. This model will be presented to the Sales Leadership in Milan by November 15th—ensuring our Sales Report remains a living document, not just a retrospective.</w:t>
      </w:r>
    </w:p>
    <w:p>
      <w:pPr>
        <w:pStyle w:val="BodyText"/>
      </w:pPr>
      <w:r>
        <w:rPr>
          <w:bCs/>
          <w:b/>
        </w:rPr>
        <w:t xml:space="preserve">Appendix:</w:t>
      </w:r>
      <w:r>
        <w:t xml:space="preserve"> </w:t>
      </w:r>
      <w:r>
        <w:t xml:space="preserve">Full dataset available via secure portal (Milan Financial Analytics Hub) for authorized Italy Milan sales and leadership personnel. GDPR-compliant data handling protocols are strictly adhered to, as mandated by Italian law and our global ethics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&amp; Strategic Insights: Financial Analyst Perspective for Italy Milan</dc:title>
  <dc:creator/>
  <cp:keywords/>
  <dcterms:created xsi:type="dcterms:W3CDTF">2026-07-24T03:40:22Z</dcterms:created>
  <dcterms:modified xsi:type="dcterms:W3CDTF">2026-07-24T03:40:22Z</dcterms:modified>
</cp:coreProperties>
</file>

<file path=docProps/custom.xml><?xml version="1.0" encoding="utf-8"?>
<Properties xmlns="http://schemas.openxmlformats.org/officeDocument/2006/custom-properties" xmlns:vt="http://schemas.openxmlformats.org/officeDocument/2006/docPropsVTypes"/>
</file>