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Tokyo</w:t>
      </w:r>
      <w:r>
        <w:t xml:space="preserve"> </w:t>
      </w:r>
      <w:r>
        <w:t xml:space="preserve">Japan</w:t>
      </w:r>
      <w:r>
        <w:t xml:space="preserve"> </w:t>
      </w:r>
      <w:r>
        <w:t xml:space="preserve">Market</w:t>
      </w:r>
      <w:r>
        <w:t xml:space="preserve"> </w:t>
      </w:r>
      <w:r>
        <w:t xml:space="preserve">Analysis</w:t>
      </w:r>
    </w:p>
    <w:bookmarkStart w:id="27" w:name="X6b62d036386a0d5dd2229bf8124dec52af9307e"/>
    <w:p>
      <w:pPr>
        <w:pStyle w:val="Heading1"/>
      </w:pPr>
      <w:r>
        <w:t xml:space="preserve">Sales Performance Analysis &amp; Strategic Outlook: Financial Analyst Report for Tokyo Japan Market</w:t>
      </w:r>
    </w:p>
    <w:bookmarkStart w:id="20" w:name="Xe72f08ffef501cd79ae1f27b73d1bae8b66565e"/>
    <w:p>
      <w:pPr>
        <w:pStyle w:val="Heading2"/>
      </w:pPr>
      <w:r>
        <w:t xml:space="preserve">Introduction: The Critical Role of Financial Analytics in Tokyo's Competitive Landscape</w:t>
      </w:r>
    </w:p>
    <w:p>
      <w:pPr>
        <w:pStyle w:val="FirstParagraph"/>
      </w:pPr>
      <w:r>
        <w:t xml:space="preserve">This comprehensive Sales Report presents the latest financial analysis from the perspective of a dedicated Financial Analyst operating within the dynamic business ecosystem of Tokyo, Japan. As a key strategic resource for our organization, this report leverages deep market intelligence to translate complex sales data into actionable insights specifically tailored to Japan's unique economic environment. With Tokyo serving as Asia's premier financial hub and home to over 37 million consumers, understanding granular sales performance is not merely beneficial—it is fundamental for sustainable growth. This document synthesizes Q3 2023 sales metrics, market trends, and competitive positioning with the precision expected of a specialized Financial Analyst operating in Tokyo's high-stakes marketplace.</w:t>
      </w:r>
    </w:p>
    <w:bookmarkEnd w:id="20"/>
    <w:bookmarkStart w:id="21" w:name="X5a4625b0f8c86785d207eaa2f54d253b414b89a"/>
    <w:p>
      <w:pPr>
        <w:pStyle w:val="Heading2"/>
      </w:pPr>
      <w:r>
        <w:t xml:space="preserve">Market Context: Japan's Economic Pulse and Tokyo-Specific Dynamics</w:t>
      </w:r>
    </w:p>
    <w:p>
      <w:pPr>
        <w:pStyle w:val="FirstParagraph"/>
      </w:pPr>
      <w:r>
        <w:t xml:space="preserve">Japan's post-pandemic economic recovery continues to show resilience, yet faces headwinds including yen volatility (down 15% against USD in 2023), demographic shifts, and evolving consumer preferences. In Tokyo alone, retail sales grew at a modest 1.8% YoY (Statista Q3 2023), significantly below the national average due to heightened competition and premiumization trends. As a Financial Analyst monitoring our Tokyo operations, I've identified three critical market differentiators: First, Japanese consumers increasingly demand data-driven value propositions—76% prioritize transparent pricing models (Japan Consumer Insight Report). Second, Tokyo's B2B sector demonstrates 9.2% faster digital adoption than national averages (Deloitte Japan). Third, the "omotenashi" service culture necessitates sales strategies that balance financial rigor with relationship-centric engagement. These factors directly shape our sales KPIs and require nuanced analysis beyond standard financial reporting.</w:t>
      </w:r>
    </w:p>
    <w:bookmarkEnd w:id="21"/>
    <w:bookmarkStart w:id="22" w:name="X111b35a70bcf0ffbef7b6d55b4fae48a60494f3"/>
    <w:p>
      <w:pPr>
        <w:pStyle w:val="Heading2"/>
      </w:pPr>
      <w:r>
        <w:t xml:space="preserve">Q3 2023 Sales Performance: Tokyo Market Deep Dive</w:t>
      </w:r>
    </w:p>
    <w:p>
      <w:pPr>
        <w:pStyle w:val="FirstParagraph"/>
      </w:pPr>
      <w:r>
        <w:t xml:space="preserve">Our Tokyo office achieved JPY 187.4 billion in sales during Q3 (15% above plan), driven by strong performance in enterprise SaaS solutions (+29% YoY). However, the Financial Analyst perspective reveals critical nuances:</w:t>
      </w:r>
    </w:p>
    <w:p>
      <w:pPr>
        <w:numPr>
          <w:ilvl w:val="0"/>
          <w:numId w:val="1001"/>
        </w:numPr>
        <w:pStyle w:val="Compact"/>
      </w:pPr>
      <w:r>
        <w:rPr>
          <w:bCs/>
          <w:b/>
        </w:rPr>
        <w:t xml:space="preserve">Product Line Analysis:</w:t>
      </w:r>
      <w:r>
        <w:t xml:space="preserve"> </w:t>
      </w:r>
      <w:r>
        <w:t xml:space="preserve">Enterprise analytics modules delivered 42% of revenue with a 68% gross margin (vs. company average of 54%), confirming our premium pricing strategy resonates with Tokyo's tech-forward corporations. Conversely, consumer-facing products underperformed by 12% due to misaligned packaging for Japanese market preferences.</w:t>
      </w:r>
    </w:p>
    <w:p>
      <w:pPr>
        <w:numPr>
          <w:ilvl w:val="0"/>
          <w:numId w:val="1001"/>
        </w:numPr>
        <w:pStyle w:val="Compact"/>
      </w:pPr>
      <w:r>
        <w:rPr>
          <w:bCs/>
          <w:b/>
        </w:rPr>
        <w:t xml:space="preserve">Geographic Breakdown:</w:t>
      </w:r>
      <w:r>
        <w:t xml:space="preserve"> </w:t>
      </w:r>
      <w:r>
        <w:t xml:space="preserve">Central Tokyo (Chiyoda, Minato) contributed 68% of sales through corporate partnerships, while suburban areas (Suginami, Setagaya) lagged by 22% due to insufficient local sales team coverage—critical insight for a Financial Analyst developing territory allocation models.</w:t>
      </w:r>
    </w:p>
    <w:p>
      <w:pPr>
        <w:numPr>
          <w:ilvl w:val="0"/>
          <w:numId w:val="1001"/>
        </w:numPr>
        <w:pStyle w:val="Compact"/>
      </w:pPr>
      <w:r>
        <w:rPr>
          <w:bCs/>
          <w:b/>
        </w:rPr>
        <w:t xml:space="preserve">Competitive Benchmarking:</w:t>
      </w:r>
      <w:r>
        <w:t xml:space="preserve"> </w:t>
      </w:r>
      <w:r>
        <w:t xml:space="preserve">We gained 3.7% market share against competitors (including SoftBank and IBM Japan), but lost ground in mid-market segments where Japanese competitors leverage stronger government relationships—a key factor our Tokyo-based Financial Analyst must address in pricing strategies.</w:t>
      </w:r>
    </w:p>
    <w:bookmarkEnd w:id="22"/>
    <w:bookmarkStart w:id="23" w:name="Xbb409f8fb104a3e5c162d56c35a3a77f5692dd3"/>
    <w:p>
      <w:pPr>
        <w:pStyle w:val="Heading2"/>
      </w:pPr>
      <w:r>
        <w:t xml:space="preserve">Financial Metrics: Where Data Reveals the True Story</w:t>
      </w:r>
    </w:p>
    <w:p>
      <w:pPr>
        <w:pStyle w:val="FirstParagraph"/>
      </w:pPr>
      <w:r>
        <w:t xml:space="preserve">Standard revenue reporting masks operational realities. As a Financial Analyst embedded in Tokyo, I've implemented advanced analytics to uncover these insights:</w:t>
      </w:r>
    </w:p>
    <w:p>
      <w:pPr>
        <w:pStyle w:val="BodyText"/>
      </w:pPr>
      <w:r>
        <w:t xml:space="preserve">KPI</w:t>
      </w:r>
    </w:p>
    <w:p>
      <w:pPr>
        <w:pStyle w:val="BodyText"/>
      </w:pPr>
      <w:r>
        <w:t xml:space="preserve">Q3 2023 (Tokyo)</w:t>
      </w:r>
    </w:p>
    <w:p>
      <w:pPr>
        <w:pStyle w:val="BodyText"/>
      </w:pPr>
      <w:r>
        <w:t xml:space="preserve">Industry Benchmark (Japan)</w:t>
      </w:r>
    </w:p>
    <w:p>
      <w:pPr>
        <w:pStyle w:val="BodyText"/>
      </w:pPr>
      <w:r>
        <w:t xml:space="preserve">Variance</w:t>
      </w:r>
    </w:p>
    <w:p>
      <w:pPr>
        <w:pStyle w:val="BodyText"/>
      </w:pPr>
      <w:r>
        <w:t xml:space="preserve">Customer Acquisition Cost (CAC)</w:t>
      </w:r>
    </w:p>
    <w:p>
      <w:pPr>
        <w:pStyle w:val="BodyText"/>
      </w:pPr>
      <w:r>
        <w:t xml:space="preserve">JPY 1.8M</w:t>
      </w:r>
    </w:p>
    <w:p>
      <w:pPr>
        <w:pStyle w:val="BodyText"/>
      </w:pPr>
      <w:r>
        <w:t xml:space="preserve">JPY 2.3M</w:t>
      </w:r>
    </w:p>
    <w:p>
      <w:pPr>
        <w:pStyle w:val="BodyText"/>
      </w:pPr>
      <w:r>
        <w:t xml:space="preserve">-21% (Advantage)</w:t>
      </w:r>
    </w:p>
    <w:p>
      <w:pPr>
        <w:pStyle w:val="BodyText"/>
      </w:pPr>
      <w:r>
        <w:t xml:space="preserve">Net Revenue Retention (NRR)</w:t>
      </w:r>
    </w:p>
    <w:p>
      <w:pPr>
        <w:pStyle w:val="BodyText"/>
      </w:pPr>
      <w:r>
        <w:rPr>
          <w:iCs/>
          <w:i/>
          <w:bCs/>
          <w:b/>
        </w:rPr>
        <w:t xml:space="preserve">Note: NRR above 100% indicates expansion revenue from existing clients</w:t>
      </w:r>
    </w:p>
    <w:p>
      <w:pPr>
        <w:pStyle w:val="BodyText"/>
      </w:pPr>
      <w:r>
        <w:t xml:space="preserve">Q3 2023 Tokyo</w:t>
      </w:r>
    </w:p>
    <w:p>
      <w:pPr>
        <w:pStyle w:val="BodyText"/>
      </w:pPr>
      <w:r>
        <w:t xml:space="preserve">118%</w:t>
      </w:r>
    </w:p>
    <w:p>
      <w:pPr>
        <w:pStyle w:val="BodyText"/>
      </w:pPr>
      <w:r>
        <w:t xml:space="preserve">105%</w:t>
      </w:r>
    </w:p>
    <w:p>
      <w:pPr>
        <w:pStyle w:val="BodyText"/>
      </w:pPr>
      <w:r>
        <w:t xml:space="preserve">+13 pts (Market Leadership)</w:t>
      </w:r>
    </w:p>
    <w:p>
      <w:pPr>
        <w:pStyle w:val="BodyText"/>
      </w:pPr>
      <w:r>
        <w:t xml:space="preserve">Average Contract Value (ACV)</w:t>
      </w:r>
    </w:p>
    <w:p>
      <w:pPr>
        <w:pStyle w:val="BodyText"/>
      </w:pPr>
      <w:r>
        <w:t xml:space="preserve">JPY 24.7M</w:t>
      </w:r>
    </w:p>
    <w:p>
      <w:pPr>
        <w:pStyle w:val="BodyText"/>
      </w:pPr>
      <w:r>
        <w:t xml:space="preserve">JPY 18.5M</w:t>
      </w:r>
    </w:p>
    <w:p>
      <w:pPr>
        <w:pStyle w:val="BodyText"/>
      </w:pPr>
      <w:r>
        <w:t xml:space="preserve">+34% (Premium Positioning)</w:t>
      </w:r>
    </w:p>
    <w:p>
      <w:pPr>
        <w:pStyle w:val="BodyText"/>
      </w:pPr>
      <w:r>
        <w:t xml:space="preserve">The NRR of 118% is particularly significant—it indicates our Tokyo sales team successfully upsells to 18% more existing clients than industry norms, a direct result of data-informed relationship management. This metric alone justifies our current sales compensation model for Japan. However, the CAC advantage must be preserved amid rising digital ad costs in Tokyo (up 31% YoY), requiring immediate Financial Analyst intervention to optimize channel mix.</w:t>
      </w:r>
    </w:p>
    <w:bookmarkEnd w:id="23"/>
    <w:bookmarkStart w:id="24" w:name="Xb0d3892910e1dfab063200712ba5fa9cbc3b17c"/>
    <w:p>
      <w:pPr>
        <w:pStyle w:val="Heading2"/>
      </w:pPr>
      <w:r>
        <w:t xml:space="preserve">Challenges &amp; Strategic Imperatives: Tokyo-Specific Barriers</w:t>
      </w:r>
    </w:p>
    <w:p>
      <w:pPr>
        <w:pStyle w:val="FirstParagraph"/>
      </w:pPr>
      <w:r>
        <w:t xml:space="preserve">Our Q3 analysis identifies three critical challenges requiring urgent Financial Analyst-led solutions:</w:t>
      </w:r>
    </w:p>
    <w:p>
      <w:pPr>
        <w:numPr>
          <w:ilvl w:val="0"/>
          <w:numId w:val="1002"/>
        </w:numPr>
        <w:pStyle w:val="Compact"/>
      </w:pPr>
      <w:r>
        <w:rPr>
          <w:bCs/>
          <w:b/>
        </w:rPr>
        <w:t xml:space="preserve">Currency Volatility Impact:</w:t>
      </w:r>
      <w:r>
        <w:t xml:space="preserve"> </w:t>
      </w:r>
      <w:r>
        <w:t xml:space="preserve">A 5% yen depreciation reduced our effective sales value by JPY 8.2B annually. As a Financial Analyst, I've proposed implementing yen-denominated contracts for new clients—already adopted by 43% of Q4 deals, protecting margins.</w:t>
      </w:r>
    </w:p>
    <w:p>
      <w:pPr>
        <w:numPr>
          <w:ilvl w:val="0"/>
          <w:numId w:val="1002"/>
        </w:numPr>
        <w:pStyle w:val="Compact"/>
      </w:pPr>
      <w:r>
        <w:rPr>
          <w:bCs/>
          <w:b/>
        </w:rPr>
        <w:t xml:space="preserve">Cultural Misalignment in Sales Approach:</w:t>
      </w:r>
      <w:r>
        <w:t xml:space="preserve"> </w:t>
      </w:r>
      <w:r>
        <w:t xml:space="preserve">Tokyo's hierarchical business culture requires deeper relationship investment than our global model allows. Analysis shows 27% of lost deals involved rushed negotiations; we've redesigned our sales cycle with senior executive "kaiwa" (dialogue) requirements—reducing deal cycles by 23%.</w:t>
      </w:r>
    </w:p>
    <w:p>
      <w:pPr>
        <w:numPr>
          <w:ilvl w:val="0"/>
          <w:numId w:val="1002"/>
        </w:numPr>
        <w:pStyle w:val="Compact"/>
      </w:pPr>
      <w:r>
        <w:rPr>
          <w:bCs/>
          <w:b/>
        </w:rPr>
        <w:t xml:space="preserve">Competitor Price Wars in Mid-Market:</w:t>
      </w:r>
      <w:r>
        <w:t xml:space="preserve"> </w:t>
      </w:r>
      <w:r>
        <w:t xml:space="preserve">Japanese competitors undercut pricing by 15-18%, eroding our share. My Financial Analyst model now includes real-time competitive price tracking with automatic margin alerts for sales teams, preventing value-based discounts that compromise profitability.</w:t>
      </w:r>
    </w:p>
    <w:bookmarkEnd w:id="24"/>
    <w:bookmarkStart w:id="25" w:name="X6586399cd0f39275bbc164b5da59a4a8848cad6"/>
    <w:p>
      <w:pPr>
        <w:pStyle w:val="Heading2"/>
      </w:pPr>
      <w:r>
        <w:t xml:space="preserve">Strategic Recommendations: Data-Driven Growth Pathways</w:t>
      </w:r>
    </w:p>
    <w:p>
      <w:pPr>
        <w:pStyle w:val="FirstParagraph"/>
      </w:pPr>
      <w:r>
        <w:t xml:space="preserve">Based on rigorous Financial Analyst evaluation of Tokyo's market data, I propose three actionable initiatives:</w:t>
      </w:r>
    </w:p>
    <w:p>
      <w:pPr>
        <w:numPr>
          <w:ilvl w:val="0"/>
          <w:numId w:val="1003"/>
        </w:numPr>
        <w:pStyle w:val="Compact"/>
      </w:pPr>
      <w:r>
        <w:rPr>
          <w:bCs/>
          <w:b/>
        </w:rPr>
        <w:t xml:space="preserve">Launch "Tokyo Premium Tier" Product Line:</w:t>
      </w:r>
      <w:r>
        <w:t xml:space="preserve"> </w:t>
      </w:r>
      <w:r>
        <w:t xml:space="preserve">Develop a high-margin suite ($50K+ ACV) with localized compliance features (e.g., enhanced GDPR/Japan Data Act alignment). Projected 21% revenue uplift in Q1 2024 based on client demand surveys.</w:t>
      </w:r>
    </w:p>
    <w:p>
      <w:pPr>
        <w:numPr>
          <w:ilvl w:val="0"/>
          <w:numId w:val="1003"/>
        </w:numPr>
        <w:pStyle w:val="Compact"/>
      </w:pPr>
      <w:r>
        <w:rPr>
          <w:bCs/>
          <w:b/>
        </w:rPr>
        <w:t xml:space="preserve">Implement AI-Powered Sales Forecasting:</w:t>
      </w:r>
      <w:r>
        <w:t xml:space="preserve"> </w:t>
      </w:r>
      <w:r>
        <w:t xml:space="preserve">Deploy machine learning models trained on Tokyo-specific data (seasonality, fiscal year-end spikes) to replace Excel-based forecasting. Early pilots improved forecast accuracy by 37% in our enterprise segment.</w:t>
      </w:r>
    </w:p>
    <w:bookmarkEnd w:id="25"/>
    <w:bookmarkStart w:id="26" w:name="X469716c6a8bf41b76ab4ad94ad91e2df571345d"/>
    <w:p>
      <w:pPr>
        <w:pStyle w:val="Heading2"/>
      </w:pPr>
      <w:r>
        <w:t xml:space="preserve">Conclusion: The Indispensable Value of Hyperlocal Financial Analysis</w:t>
      </w:r>
    </w:p>
    <w:p>
      <w:pPr>
        <w:pStyle w:val="FirstParagraph"/>
      </w:pPr>
      <w:r>
        <w:t xml:space="preserve">In Tokyo, where business success hinges on marrying financial precision with cultural fluency, this Sales Report exemplifies how specialized Financial Analyst capabilities transform data into competitive advantage. Our Q3 results prove that granular market understanding—delivered through rigorous financial analysis—directly drives revenue growth (15% above target) while optimizing cost structures. Moving forward, I recommend doubling down on Tokyo-specific analytics talent development, as our ability to interpret Japan's economic signals (e.g., Bank of Japan policy shifts, consumption tax changes) remains the cornerstone of sustainable sales performance. For any multinational operating in Tokyo, the Financial Analyst is not just a number-cruncher but the strategic guardian of market relevance. This report stands as evidence that when Sales Report insights are fused with Japan-market expertise through an expert Financial Analyst lens, organizations don't just navigate Tokyo—they lead it.</w:t>
      </w:r>
    </w:p>
    <w:p>
      <w:pPr>
        <w:pStyle w:val="BodyText"/>
      </w:pPr>
      <w:r>
        <w:rPr>
          <w:bCs/>
          <w:b/>
        </w:rPr>
        <w:t xml:space="preserve">Prepared by:</w:t>
      </w:r>
      <w:r>
        <w:t xml:space="preserve"> </w:t>
      </w:r>
      <w:r>
        <w:t xml:space="preserve">[Financial Analyst Name], Senior Financial Analyst | Asia-Pacific Markets</w:t>
      </w:r>
      <w:r>
        <w:br/>
      </w:r>
      <w:r>
        <w:rPr>
          <w:bCs/>
          <w:b/>
        </w:rPr>
        <w:t xml:space="preserve">Date:</w:t>
      </w:r>
      <w:r>
        <w:t xml:space="preserve"> </w:t>
      </w:r>
      <w:r>
        <w:t xml:space="preserve">October 26, 2023</w:t>
      </w:r>
      <w:r>
        <w:br/>
      </w:r>
      <w:r>
        <w:rPr>
          <w:bCs/>
          <w:b/>
        </w:rPr>
        <w:t xml:space="preserve">Report Scope:</w:t>
      </w:r>
      <w:r>
        <w:t xml:space="preserve"> </w:t>
      </w:r>
      <w:r>
        <w:t xml:space="preserve">Tokyo Office Sales Performance (Q3 2023) &amp; Strategic Roadmap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Tokyo Japan Market Analysis</dc:title>
  <dc:creator/>
  <dc:language>en</dc:language>
  <cp:keywords/>
  <dcterms:created xsi:type="dcterms:W3CDTF">2026-07-24T08:32:15Z</dcterms:created>
  <dcterms:modified xsi:type="dcterms:W3CDTF">2026-07-24T08:32:15Z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