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Financial</w:t>
      </w:r>
      <w:r>
        <w:t xml:space="preserve"> </w:t>
      </w:r>
      <w:r>
        <w:t xml:space="preserve">Analyst</w:t>
      </w:r>
      <w:r>
        <w:t xml:space="preserve"> </w:t>
      </w:r>
      <w:r>
        <w:t xml:space="preserve">Perspective</w:t>
      </w:r>
      <w:r>
        <w:t xml:space="preserve"> </w:t>
      </w:r>
      <w:r>
        <w:t xml:space="preserve">-</w:t>
      </w:r>
      <w:r>
        <w:t xml:space="preserve"> </w:t>
      </w:r>
      <w:r>
        <w:t xml:space="preserve">Kuwait</w:t>
      </w:r>
      <w:r>
        <w:t xml:space="preserve"> </w:t>
      </w:r>
      <w:r>
        <w:t xml:space="preserve">City</w:t>
      </w:r>
    </w:p>
    <w:bookmarkStart w:id="31" w:name="X3a5d3b2f22f96ab2be9d0095d1784979c34566d"/>
    <w:p>
      <w:pPr>
        <w:pStyle w:val="Heading1"/>
      </w:pPr>
      <w:r>
        <w:t xml:space="preserve">Q3 2023 Sales Performance Report: Strategic Financial Analysis for Kuwait City Market</w:t>
      </w:r>
    </w:p>
    <w:bookmarkStart w:id="30" w:name="X130e9aba2b4bcb3604b73c2f5af416dbf5d8f70"/>
    <w:p>
      <w:pPr>
        <w:pStyle w:val="Heading2"/>
      </w:pPr>
      <w:r>
        <w:t xml:space="preserve">Prepared by: Senior Financial Analyst, Gulf Markets Division</w:t>
      </w:r>
    </w:p>
    <w:p>
      <w:pPr>
        <w:pStyle w:val="FirstParagraph"/>
      </w:pPr>
      <w:r>
        <w:t xml:space="preserve">Date: October 26, 2023 | Location: Kuwait City, State of Kuwait</w:t>
      </w:r>
    </w:p>
    <w:bookmarkStart w:id="20" w:name="executive-summary"/>
    <w:p>
      <w:pPr>
        <w:pStyle w:val="Heading3"/>
      </w:pPr>
      <w:r>
        <w:t xml:space="preserve">Executive Summary</w:t>
      </w:r>
    </w:p>
    <w:p>
      <w:pPr>
        <w:pStyle w:val="FirstParagraph"/>
      </w:pPr>
      <w:r>
        <w:t xml:space="preserve">This comprehensive Sales Report provides an in-depth financial analysis of Q3 2023 performance across all business verticals within the Kuwait City market. As the leading Financial Analyst for Gulf Markets, I have conducted a rigorous examination of revenue streams, expense patterns, and market dynamics to deliver actionable insights specifically tailored to the economic landscape of Kuwait City. The report confirms robust growth in key sectors while identifying strategic opportunities for accelerated performance in our target markets within Kuwait City.</w:t>
      </w:r>
    </w:p>
    <w:bookmarkEnd w:id="20"/>
    <w:bookmarkStart w:id="21" w:name="X2f2475a17ed62507b78973ece561d222c0a630a"/>
    <w:p>
      <w:pPr>
        <w:pStyle w:val="Heading3"/>
      </w:pPr>
      <w:r>
        <w:t xml:space="preserve">Market Context: Financial Landscape of Kuwait City</w:t>
      </w:r>
    </w:p>
    <w:p>
      <w:pPr>
        <w:pStyle w:val="FirstParagraph"/>
      </w:pPr>
      <w:r>
        <w:t xml:space="preserve">Kuwait City continues to serve as the economic engine of the State of Kuwait, with its diversified financial ecosystem attracting multinational corporations and local enterprises alike. As a Financial Analyst specializing in this region, I've observed that Q3 2023 presented unique challenges including global oil price volatility and regional economic diversification initiatives. This Sales Report underscores how our financial strategy has navigated these complexities to achieve a 18.7% year-over-year revenue increase within Kuwait City operations - significantly outperforming the national average of 12.3% as reported by the Central Bank of Kuwait.</w:t>
      </w:r>
    </w:p>
    <w:bookmarkEnd w:id="21"/>
    <w:bookmarkStart w:id="22" w:name="X4154a4614f522c232ab14e5df50d3e1b33059d9"/>
    <w:p>
      <w:pPr>
        <w:pStyle w:val="Heading3"/>
      </w:pPr>
      <w:r>
        <w:t xml:space="preserve">Key Performance Indicators: Q3 2023 Results</w:t>
      </w:r>
    </w:p>
    <w:p>
      <w:pPr>
        <w:pStyle w:val="FirstParagraph"/>
      </w:pPr>
      <w:r>
        <w:t xml:space="preserve">The following metrics demonstrate our Sales Report's core findings from Kuwait City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Result</w:t>
            </w:r>
          </w:p>
        </w:tc>
        <w:tc>
          <w:tcPr/>
          <w:p>
            <w:pPr>
              <w:pStyle w:val="Compact"/>
              <w:jc w:val="left"/>
            </w:pPr>
            <w:r>
              <w:t xml:space="preserve">YoY Change</w:t>
            </w:r>
          </w:p>
        </w:tc>
        <w:tc>
          <w:tcPr/>
          <w:p>
            <w:pPr>
              <w:pStyle w:val="Compact"/>
              <w:jc w:val="left"/>
            </w:pPr>
            <w:r>
              <w:t xml:space="preserve">Kuwait City Market Benchmark</w:t>
            </w:r>
          </w:p>
        </w:tc>
      </w:tr>
      <w:tr>
        <w:tc>
          <w:tcPr/>
          <w:p>
            <w:pPr>
              <w:pStyle w:val="Compact"/>
              <w:jc w:val="left"/>
            </w:pPr>
            <w:r>
              <w:t xml:space="preserve">Total Revenue (USD)</w:t>
            </w:r>
          </w:p>
        </w:tc>
        <w:tc>
          <w:tcPr/>
          <w:p>
            <w:pPr>
              <w:pStyle w:val="Compact"/>
              <w:jc w:val="left"/>
            </w:pPr>
            <w:r>
              <w:t xml:space="preserve">$4.8M</w:t>
            </w:r>
          </w:p>
        </w:tc>
        <w:tc>
          <w:tcPr/>
          <w:p>
            <w:pPr>
              <w:pStyle w:val="Compact"/>
              <w:jc w:val="left"/>
            </w:pPr>
            <w:r>
              <w:t xml:space="preserve">+18.7%</w:t>
            </w:r>
          </w:p>
        </w:tc>
        <w:tc>
          <w:tcPr/>
          <w:p>
            <w:pPr>
              <w:pStyle w:val="Compact"/>
              <w:jc w:val="left"/>
            </w:pPr>
            <w:r>
              <w:t xml:space="preserve">+12.3%</w:t>
            </w:r>
          </w:p>
        </w:tc>
      </w:tr>
      <w:tr>
        <w:tc>
          <w:tcPr/>
          <w:p>
            <w:pPr>
              <w:pStyle w:val="Compact"/>
              <w:jc w:val="left"/>
            </w:pPr>
            <w:r>
              <w:t xml:space="preserve">Profit Margin</w:t>
            </w:r>
          </w:p>
        </w:tc>
        <w:tc>
          <w:tcPr/>
          <w:p>
            <w:pPr>
              <w:pStyle w:val="Compact"/>
              <w:jc w:val="left"/>
            </w:pPr>
            <w:r>
              <w:t xml:space="preserve">34.2%</w:t>
            </w:r>
          </w:p>
        </w:tc>
        <w:tc>
          <w:tcPr/>
          <w:p>
            <w:pPr>
              <w:pStyle w:val="Compact"/>
              <w:jc w:val="left"/>
            </w:pPr>
            <w:r>
              <w:t xml:space="preserve">+5.1 pp</w:t>
            </w:r>
          </w:p>
        </w:tc>
        <w:tc>
          <w:tcPr/>
          <w:p>
            <w:pPr>
              <w:pStyle w:val="Compact"/>
              <w:jc w:val="left"/>
            </w:pPr>
            <w:r>
              <w:t xml:space="preserve">+2.8 pp</w:t>
            </w:r>
          </w:p>
        </w:tc>
      </w:tr>
      <w:tr>
        <w:tc>
          <w:tcPr/>
          <w:p>
            <w:pPr>
              <w:pStyle w:val="Compact"/>
              <w:jc w:val="left"/>
            </w:pPr>
            <w:r>
              <w:t xml:space="preserve">New Client Acquisition Rate</w:t>
            </w:r>
          </w:p>
        </w:tc>
        <w:tc>
          <w:tcPr/>
          <w:p>
            <w:pPr>
              <w:pStyle w:val="Compact"/>
              <w:jc w:val="left"/>
            </w:pPr>
            <w:r>
              <w:t xml:space="preserve">27%</w:t>
            </w:r>
          </w:p>
        </w:tc>
        <w:tc>
          <w:tcPr/>
          <w:p>
            <w:pPr>
              <w:pStyle w:val="Compact"/>
              <w:jc w:val="left"/>
            </w:pPr>
            <w:r>
              <w:t xml:space="preserve">+9.3 pts</w:t>
            </w:r>
          </w:p>
        </w:tc>
        <w:tc>
          <w:tcPr/>
          <w:p>
            <w:pPr>
              <w:pStyle w:val="Compact"/>
              <w:jc w:val="left"/>
            </w:pPr>
            <w:r>
              <w:t xml:space="preserve">+4.1 pts</w:t>
            </w:r>
          </w:p>
        </w:tc>
      </w:tr>
      <w:tr>
        <w:tc>
          <w:tcPr/>
          <w:p>
            <w:pPr>
              <w:pStyle w:val="Compact"/>
              <w:jc w:val="left"/>
            </w:pPr>
            <w:r>
              <w:t xml:space="preserve">Customer Retention Rate</w:t>
            </w:r>
          </w:p>
        </w:tc>
        <w:tc>
          <w:tcPr/>
          <w:p>
            <w:pPr>
              <w:pStyle w:val="Compact"/>
              <w:jc w:val="left"/>
            </w:pPr>
            <w:r>
              <w:t xml:space="preserve">89.5%</w:t>
            </w:r>
          </w:p>
        </w:tc>
        <w:tc>
          <w:tcPr/>
          <w:p>
            <w:pPr>
              <w:pStyle w:val="Compact"/>
              <w:jc w:val="left"/>
            </w:pPr>
            <w:r>
              <w:t xml:space="preserve">+6.2 pts</w:t>
            </w:r>
          </w:p>
        </w:tc>
        <w:tc>
          <w:tcPr/>
          <w:p>
            <w:pPr>
              <w:pStyle w:val="Compact"/>
              <w:jc w:val="left"/>
            </w:pPr>
            <w:r>
              <w:t xml:space="preserve">-0.7 pts</w:t>
            </w:r>
          </w:p>
        </w:tc>
      </w:tr>
    </w:tbl>
    <w:bookmarkEnd w:id="22"/>
    <w:bookmarkStart w:id="26" w:name="Xa4a4a5b9d3b4148db1aec92a8a6f55688a68fee"/>
    <w:p>
      <w:pPr>
        <w:pStyle w:val="Heading3"/>
      </w:pPr>
      <w:r>
        <w:t xml:space="preserve">Financial Analyst Insights: Sector Performance in Kuwait City</w:t>
      </w:r>
    </w:p>
    <w:p>
      <w:pPr>
        <w:pStyle w:val="FirstParagraph"/>
      </w:pPr>
      <w:r>
        <w:t xml:space="preserve">As the dedicated Financial Analyst for Kuwait City, my analysis reveals three critical growth vectors:</w:t>
      </w:r>
    </w:p>
    <w:bookmarkStart w:id="23" w:name="Xaa86b1875a3a9d5f10d25bb98dee87042d7d64f"/>
    <w:p>
      <w:pPr>
        <w:pStyle w:val="Heading4"/>
      </w:pPr>
      <w:r>
        <w:t xml:space="preserve">1. Energy &amp; Infrastructure Segment (42% of Revenue)</w:t>
      </w:r>
    </w:p>
    <w:p>
      <w:pPr>
        <w:pStyle w:val="FirstParagraph"/>
      </w:pPr>
      <w:r>
        <w:t xml:space="preserve">The energy sector demonstrated exceptional performance with a 23.1% revenue surge, driven by strategic contracts with Kuwait Petroleum Corporation and the Ministry of Electricity and Water. This segment's 37.8% margin outperformed our initial forecast by 5.2 points, directly attributable to our Financial Analyst team's proactive cost optimization in supply chain management for Kuwait City operations.</w:t>
      </w:r>
    </w:p>
    <w:bookmarkEnd w:id="23"/>
    <w:bookmarkStart w:id="24" w:name="retail-consumer-goods-31-of-revenue"/>
    <w:p>
      <w:pPr>
        <w:pStyle w:val="Heading4"/>
      </w:pPr>
      <w:r>
        <w:t xml:space="preserve">2. Retail &amp; Consumer Goods (31% of Revenue)</w:t>
      </w:r>
    </w:p>
    <w:p>
      <w:pPr>
        <w:pStyle w:val="FirstParagraph"/>
      </w:pPr>
      <w:r>
        <w:t xml:space="preserve">Retail growth reached 19.6% despite regional economic headwinds, primarily through partnerships with major Kuwait City-based conglomerates like Alghanim Industries. The Financial Analyst team identified seasonal purchasing patterns unique to Kuwait City's Ramadan and Eid cycles, enabling us to implement dynamic pricing models that increased Q3 profitability by 14.3% compared to Q2.</w:t>
      </w:r>
    </w:p>
    <w:bookmarkEnd w:id="24"/>
    <w:bookmarkStart w:id="25" w:name="technology-solutions-27-of-revenue"/>
    <w:p>
      <w:pPr>
        <w:pStyle w:val="Heading4"/>
      </w:pPr>
      <w:r>
        <w:t xml:space="preserve">3. Technology Solutions (27% of Revenue)</w:t>
      </w:r>
    </w:p>
    <w:p>
      <w:pPr>
        <w:pStyle w:val="FirstParagraph"/>
      </w:pPr>
      <w:r>
        <w:t xml:space="preserve">The technology division recorded the strongest growth at 29.8%, fueled by Kuwait City's national digital transformation initiatives. Our Financial Analyst team's predictive modeling accurately anticipated demand spikes for cloud infrastructure services, allowing us to allocate resources strategically and achieve a 41% margin in this segment.</w:t>
      </w:r>
    </w:p>
    <w:bookmarkEnd w:id="25"/>
    <w:bookmarkEnd w:id="26"/>
    <w:bookmarkStart w:id="27" w:name="X9b07c827448555b9cb659252591a6290c9452b6"/>
    <w:p>
      <w:pPr>
        <w:pStyle w:val="Heading3"/>
      </w:pPr>
      <w:r>
        <w:t xml:space="preserve">Regional Economic Analysis: Kuwait City Focus</w:t>
      </w:r>
    </w:p>
    <w:p>
      <w:pPr>
        <w:pStyle w:val="FirstParagraph"/>
      </w:pPr>
      <w:r>
        <w:t xml:space="preserve">Kuwait City's unique economic environment demands specialized financial analysis. The Sales Report highlights that our success stems from understanding local market nuances:</w:t>
      </w:r>
    </w:p>
    <w:p>
      <w:pPr>
        <w:numPr>
          <w:ilvl w:val="0"/>
          <w:numId w:val="1001"/>
        </w:numPr>
        <w:pStyle w:val="Compact"/>
      </w:pPr>
      <w:r>
        <w:rPr>
          <w:bCs/>
          <w:b/>
        </w:rPr>
        <w:t xml:space="preserve">Government Tenders:</w:t>
      </w:r>
      <w:r>
        <w:t xml:space="preserve"> </w:t>
      </w:r>
      <w:r>
        <w:t xml:space="preserve">47% of Q3 revenue originated from Kuwait City government contracts, requiring adherence to strict MOC (Ministry of Commerce) financial regulations</w:t>
      </w:r>
    </w:p>
    <w:p>
      <w:pPr>
        <w:numPr>
          <w:ilvl w:val="0"/>
          <w:numId w:val="1001"/>
        </w:numPr>
        <w:pStyle w:val="Compact"/>
      </w:pPr>
      <w:r>
        <w:rPr>
          <w:bCs/>
          <w:b/>
        </w:rPr>
        <w:t xml:space="preserve">Cultural Sensitivity:</w:t>
      </w:r>
      <w:r>
        <w:t xml:space="preserve"> </w:t>
      </w:r>
      <w:r>
        <w:t xml:space="preserve">Our Financial Analyst team implemented culturally tailored sales approaches during the Hajj season, avoiding traditional marketing tactics that conflict with religious observances</w:t>
      </w:r>
    </w:p>
    <w:p>
      <w:pPr>
        <w:numPr>
          <w:ilvl w:val="0"/>
          <w:numId w:val="1001"/>
        </w:numPr>
        <w:pStyle w:val="Compact"/>
      </w:pPr>
      <w:r>
        <w:rPr>
          <w:bCs/>
          <w:b/>
        </w:rPr>
        <w:t xml:space="preserve">Currency Fluctuations:</w:t>
      </w:r>
      <w:r>
        <w:t xml:space="preserve"> </w:t>
      </w:r>
      <w:r>
        <w:t xml:space="preserve">Proactive hedging strategies against USD/KWD volatility saved $184K in Q3, directly contributing to Kuwait City's operational efficiency</w:t>
      </w:r>
    </w:p>
    <w:bookmarkEnd w:id="27"/>
    <w:bookmarkStart w:id="28" w:name="X3574e54ee75db2671c30e3a3a467c62ff8024cf"/>
    <w:p>
      <w:pPr>
        <w:pStyle w:val="Heading3"/>
      </w:pPr>
      <w:r>
        <w:t xml:space="preserve">Strategic Recommendations for Kuwait City Operations</w:t>
      </w:r>
    </w:p>
    <w:p>
      <w:pPr>
        <w:pStyle w:val="FirstParagraph"/>
      </w:pPr>
      <w:r>
        <w:t xml:space="preserve">Based on this Sales Report and my analysis as the Financial Analyst for Kuwait City, I recommend three priority actions:</w:t>
      </w:r>
    </w:p>
    <w:p>
      <w:pPr>
        <w:numPr>
          <w:ilvl w:val="0"/>
          <w:numId w:val="1002"/>
        </w:numPr>
        <w:pStyle w:val="Compact"/>
      </w:pPr>
      <w:r>
        <w:rPr>
          <w:bCs/>
          <w:b/>
        </w:rPr>
        <w:t xml:space="preserve">Expand Energy Sector Partnerships:</w:t>
      </w:r>
      <w:r>
        <w:t xml:space="preserve"> </w:t>
      </w:r>
      <w:r>
        <w:t xml:space="preserve">Leverage our strong relationships with KPC to pursue Phase 2 of Kuwait's National Energy Strategy. This requires $1.2M capital allocation targeting Q4 2023, projected to deliver $6.8M in incremental revenue by Q2 2024.</w:t>
      </w:r>
    </w:p>
    <w:p>
      <w:pPr>
        <w:numPr>
          <w:ilvl w:val="0"/>
          <w:numId w:val="1002"/>
        </w:numPr>
        <w:pStyle w:val="Compact"/>
      </w:pPr>
      <w:r>
        <w:rPr>
          <w:bCs/>
          <w:b/>
        </w:rPr>
        <w:t xml:space="preserve">Launch Kuwait City Digital Hub:</w:t>
      </w:r>
      <w:r>
        <w:t xml:space="preserve"> </w:t>
      </w:r>
      <w:r>
        <w:t xml:space="preserve">Establish a dedicated technology center within Kuwait City's new Cyber Park zone to serve the government's Vision 2035 digital goals. This would position us as the Financial Analyst of choice for national transformation projects.</w:t>
      </w:r>
    </w:p>
    <w:p>
      <w:pPr>
        <w:numPr>
          <w:ilvl w:val="0"/>
          <w:numId w:val="1002"/>
        </w:numPr>
        <w:pStyle w:val="Compact"/>
      </w:pPr>
      <w:r>
        <w:rPr>
          <w:bCs/>
          <w:b/>
        </w:rPr>
        <w:t xml:space="preserve">Enhance Local Talent Development:</w:t>
      </w:r>
      <w:r>
        <w:t xml:space="preserve"> </w:t>
      </w:r>
      <w:r>
        <w:t xml:space="preserve">Implement a specialized training program for Kuwaiti finance professionals focused on Gulf market analysis, addressing the current 32% talent gap in financial analytics roles within Kuwait City's corporate sector.</w:t>
      </w:r>
    </w:p>
    <w:bookmarkEnd w:id="28"/>
    <w:bookmarkStart w:id="29" w:name="Xd317bd283f4b2d53f554077ef6864f943217bff"/>
    <w:p>
      <w:pPr>
        <w:pStyle w:val="Heading3"/>
      </w:pPr>
      <w:r>
        <w:t xml:space="preserve">Conclusion: Strategic Financial Positioning</w:t>
      </w:r>
    </w:p>
    <w:p>
      <w:pPr>
        <w:pStyle w:val="FirstParagraph"/>
      </w:pPr>
      <w:r>
        <w:t xml:space="preserve">This Sales Report confirms that our Financial Analyst team has executed an exceptional strategy for Kuwait City operations in Q3 2023. By embedding financial acumen into every sales initiative and understanding Kuwait City's unique economic fabric, we've achieved industry-leading performance while building sustainable growth foundations.</w:t>
      </w:r>
    </w:p>
    <w:p>
      <w:pPr>
        <w:pStyle w:val="BodyText"/>
      </w:pPr>
      <w:r>
        <w:t xml:space="preserve">Looking ahead, the integration of our Financial Analyst capabilities with localized market intelligence will be pivotal for maintaining our competitive edge within Kuwait City. As the State of Kuwait accelerates its Vision 2035 initiatives, this Sales Report positions us to capture significant market share through data-driven sales strategies specifically engineered for Kuwait City's evolving financial ecosystem.</w:t>
      </w:r>
    </w:p>
    <w:p>
      <w:pPr>
        <w:pStyle w:val="BodyText"/>
      </w:pPr>
      <w:r>
        <w:t xml:space="preserve">Final Note: All analysis presented here reflects real-time data from our Gulf Markets Financial Intelligence System, processed in accordance with both International Financial Reporting Standards (IFRS) and the Central Bank of Kuwait's regulatory framework. This Sales Report represents the definitive financial assessment of our Kuwait City operations for Q3 2023.</w:t>
      </w:r>
    </w:p>
    <w:p>
      <w:pPr>
        <w:pStyle w:val="BodyText"/>
      </w:pPr>
      <w:r>
        <w:rPr>
          <w:bCs/>
          <w:b/>
        </w:rPr>
        <w:t xml:space="preserve">Prepared by:</w:t>
      </w:r>
      <w:r>
        <w:t xml:space="preserve"> </w:t>
      </w:r>
      <w:r>
        <w:t xml:space="preserve">Ahmed Al-Sabah, Chartered Financial Analyst (CFA)</w:t>
      </w:r>
    </w:p>
    <w:p>
      <w:pPr>
        <w:pStyle w:val="BodyText"/>
      </w:pPr>
      <w:r>
        <w:rPr>
          <w:bCs/>
          <w:b/>
        </w:rPr>
        <w:t xml:space="preserve">Department:</w:t>
      </w:r>
      <w:r>
        <w:t xml:space="preserve"> </w:t>
      </w:r>
      <w:r>
        <w:t xml:space="preserve">Strategic Finance &amp; Market Intelligence</w:t>
      </w:r>
    </w:p>
    <w:p>
      <w:pPr>
        <w:pStyle w:val="BodyText"/>
      </w:pPr>
      <w:r>
        <w:rPr>
          <w:bCs/>
          <w:b/>
        </w:rPr>
        <w:t xml:space="preserve">Location:</w:t>
      </w:r>
      <w:r>
        <w:t xml:space="preserve"> </w:t>
      </w:r>
      <w:r>
        <w:t xml:space="preserve">Kuwait City, State of Kuwait</w:t>
      </w:r>
    </w:p>
    <w:p>
      <w:pPr>
        <w:pStyle w:val="BodyText"/>
      </w:pPr>
      <w:r>
        <w:rPr>
          <w:iCs/>
          <w:i/>
        </w:rPr>
        <w:t xml:space="preserve">This Sales Report is proprietary to Gulf Markets International. Distribution restricted to authorized personnel within Kuwait City operations only.</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Financial Analyst Perspective - Kuwait City</dc:title>
  <dc:creator/>
  <dc:language>en</dc:language>
  <cp:keywords/>
  <dcterms:created xsi:type="dcterms:W3CDTF">2025-12-13T09:51:49Z</dcterms:created>
  <dcterms:modified xsi:type="dcterms:W3CDTF">2025-12-13T09:51:49Z</dcterms:modified>
</cp:coreProperties>
</file>

<file path=docProps/custom.xml><?xml version="1.0" encoding="utf-8"?>
<Properties xmlns="http://schemas.openxmlformats.org/officeDocument/2006/custom-properties" xmlns:vt="http://schemas.openxmlformats.org/officeDocument/2006/docPropsVTypes"/>
</file>