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Financial</w:t>
      </w:r>
      <w:r>
        <w:t xml:space="preserve"> </w:t>
      </w:r>
      <w:r>
        <w:t xml:space="preserve">Analyst</w:t>
      </w:r>
      <w:r>
        <w:t xml:space="preserve"> </w:t>
      </w:r>
      <w:r>
        <w:t xml:space="preserve">Perspective</w:t>
      </w:r>
      <w:r>
        <w:t xml:space="preserve"> </w:t>
      </w:r>
      <w:r>
        <w:t xml:space="preserve">|</w:t>
      </w:r>
      <w:r>
        <w:t xml:space="preserve"> </w:t>
      </w:r>
      <w:r>
        <w:t xml:space="preserve">Malaysia</w:t>
      </w:r>
      <w:r>
        <w:t xml:space="preserve"> </w:t>
      </w:r>
      <w:r>
        <w:t xml:space="preserve">Kuala</w:t>
      </w:r>
      <w:r>
        <w:t xml:space="preserve"> </w:t>
      </w:r>
      <w:r>
        <w:t xml:space="preserve">Lumpur</w:t>
      </w:r>
    </w:p>
    <w:bookmarkStart w:id="29" w:name="X8dd3f4eb93e1464bcf196e33343a18c77e48bb5"/>
    <w:p>
      <w:pPr>
        <w:pStyle w:val="Heading1"/>
      </w:pPr>
      <w:r>
        <w:t xml:space="preserve">Q3 2023 Comprehensive Sales Performance Report: Strategic Insights for Malaysia Kuala Lumpur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Kuala Lumpur Headquarters</w:t>
      </w:r>
      <w:r>
        <w:br/>
      </w:r>
      <w:r>
        <w:rPr>
          <w:bCs/>
          <w:b/>
        </w:rPr>
        <w:t xml:space="preserve">Prepared By:</w:t>
      </w:r>
      <w:r>
        <w:t xml:space="preserve"> </w:t>
      </w:r>
      <w:r>
        <w:t xml:space="preserve">Senior Financial Analyst - Southeast Asia Division</w:t>
      </w:r>
    </w:p>
    <w:bookmarkStart w:id="20" w:name="i.-executive-summary"/>
    <w:p>
      <w:pPr>
        <w:pStyle w:val="Heading2"/>
      </w:pPr>
      <w:r>
        <w:t xml:space="preserve">I. Executive Summary</w:t>
      </w:r>
    </w:p>
    <w:p>
      <w:pPr>
        <w:pStyle w:val="FirstParagraph"/>
      </w:pPr>
      <w:r>
        <w:t xml:space="preserve">This Sales Report presents a detailed analysis of Q3 2023 performance across key business segments in Malaysia Kuala Lumpur, generated through rigorous financial modeling and market intelligence. As the primary Financial Analyst supporting our regional operations, I've identified significant opportunities within the KL market that position us for 15% year-over-year sales growth in H2 2023. The report confirms our strategic focus on digital solutions and premium services has yielded strong results in Malaysia's most competitive commercial hub.</w:t>
      </w:r>
    </w:p>
    <w:bookmarkEnd w:id="20"/>
    <w:bookmarkStart w:id="21" w:name="Xe2f69e21742d8fdbe292e2a76fd33e2b3717de3"/>
    <w:p>
      <w:pPr>
        <w:pStyle w:val="Heading2"/>
      </w:pPr>
      <w:r>
        <w:t xml:space="preserve">II. Sales Performance Overview: Malaysia Kuala Lumpur Market</w:t>
      </w:r>
    </w:p>
    <w:p>
      <w:pPr>
        <w:pStyle w:val="FirstParagraph"/>
      </w:pPr>
      <w:r>
        <w:t xml:space="preserve">Our Q3 2023 Sales Report shows a robust 18.7% increase in revenue for the Malaysia Kuala Lumpur region compared to Q2, totaling RM 48.6 million (USD $10.9 million). This outperformance against the national market average of 5.3% demonstrates our Financial Analyst team's proactive strategy adjustments based on real-time data analytics.</w:t>
      </w:r>
    </w:p>
    <w:p>
      <w:pPr>
        <w:pStyle w:val="BodyText"/>
      </w:pPr>
      <w:r>
        <w:t xml:space="preserve">Key drivers include:</w:t>
      </w:r>
    </w:p>
    <w:p>
      <w:pPr>
        <w:numPr>
          <w:ilvl w:val="0"/>
          <w:numId w:val="1001"/>
        </w:numPr>
        <w:pStyle w:val="Compact"/>
      </w:pPr>
      <w:r>
        <w:rPr>
          <w:bCs/>
          <w:b/>
        </w:rPr>
        <w:t xml:space="preserve">Digital Transformation Services:</w:t>
      </w:r>
      <w:r>
        <w:t xml:space="preserve"> </w:t>
      </w:r>
      <w:r>
        <w:t xml:space="preserve">+27.4% growth (RM 18.2M), capturing market share from traditional vendors</w:t>
      </w:r>
    </w:p>
    <w:p>
      <w:pPr>
        <w:numPr>
          <w:ilvl w:val="0"/>
          <w:numId w:val="1001"/>
        </w:numPr>
        <w:pStyle w:val="Compact"/>
      </w:pPr>
      <w:r>
        <w:rPr>
          <w:bCs/>
          <w:b/>
        </w:rPr>
        <w:t xml:space="preserve">Premium Financial Solutions:</w:t>
      </w:r>
      <w:r>
        <w:t xml:space="preserve"> </w:t>
      </w:r>
      <w:r>
        <w:t xml:space="preserve">+19.6% growth (RM 15.3M) driven by corporate clients in KL's Golden Triangle business district</w:t>
      </w:r>
    </w:p>
    <w:p>
      <w:pPr>
        <w:numPr>
          <w:ilvl w:val="0"/>
          <w:numId w:val="1001"/>
        </w:numPr>
        <w:pStyle w:val="Compact"/>
      </w:pPr>
      <w:r>
        <w:rPr>
          <w:bCs/>
          <w:b/>
        </w:rPr>
        <w:t xml:space="preserve">Enterprise Client Retention:</w:t>
      </w:r>
      <w:r>
        <w:t xml:space="preserve"> </w:t>
      </w:r>
      <w:r>
        <w:t xml:space="preserve">89% renewal rate, exceeding regional benchmark of 82%</w:t>
      </w:r>
    </w:p>
    <w:bookmarkEnd w:id="21"/>
    <w:bookmarkStart w:id="25" w:name="X8e28a56ce87a2eeb72f31ba66398caa1245670f"/>
    <w:p>
      <w:pPr>
        <w:pStyle w:val="Heading2"/>
      </w:pPr>
      <w:r>
        <w:t xml:space="preserve">III. Critical Insights from the Financial Analyst Perspective</w:t>
      </w:r>
    </w:p>
    <w:p>
      <w:pPr>
        <w:pStyle w:val="FirstParagraph"/>
      </w:pPr>
      <w:r>
        <w:t xml:space="preserve">The Financial Analyst team's deep dive into KL-specific data reveals three market-shaping insights that informed our Q3 strategy:</w:t>
      </w:r>
    </w:p>
    <w:bookmarkStart w:id="22" w:name="a.-sector-specific-demand-shifts"/>
    <w:p>
      <w:pPr>
        <w:pStyle w:val="Heading3"/>
      </w:pPr>
      <w:r>
        <w:t xml:space="preserve">A. Sector-Specific Demand Shifts</w:t>
      </w:r>
    </w:p>
    <w:p>
      <w:pPr>
        <w:pStyle w:val="FirstParagraph"/>
      </w:pPr>
      <w:r>
        <w:t xml:space="preserve">Analysis of Malaysia Kuala Lumpur sales patterns shows a 41% surge in demand for ESG-compliant financial solutions among KL-based multinational corporations. This trend, identified early by our Financial Analyst team through predictive modeling, directly influenced our Q3 product bundling strategy. We successfully converted 67 new enterprise clients (including three Fortune 500 companies headquartered in KL) through targeted ESG solution packages.</w:t>
      </w:r>
    </w:p>
    <w:bookmarkEnd w:id="22"/>
    <w:bookmarkStart w:id="23" w:name="b.-channel-effectiveness-analysis"/>
    <w:p>
      <w:pPr>
        <w:pStyle w:val="Heading3"/>
      </w:pPr>
      <w:r>
        <w:t xml:space="preserve">B. Channel Effectiveness Analysis</w:t>
      </w:r>
    </w:p>
    <w:p>
      <w:pPr>
        <w:pStyle w:val="FirstParagraph"/>
      </w:pPr>
      <w:r>
        <w:t xml:space="preserve">Our Sales Report reveals that digital channels contributed 68% of Q3 revenue in Malaysia Kuala Lumpur versus 52% industry average. The Financial Analyst team's attribution modeling confirmed that our KL-focused LinkedIn and WhatsApp campaign generated RM 7.8M in pipeline - a 300% ROI exceeding all other marketing channels. This data directly validated our Q4 budget allocation for digital sales enablement.</w:t>
      </w:r>
    </w:p>
    <w:bookmarkEnd w:id="23"/>
    <w:bookmarkStart w:id="24" w:name="c.-economic-sensitivity-mapping"/>
    <w:p>
      <w:pPr>
        <w:pStyle w:val="Heading3"/>
      </w:pPr>
      <w:r>
        <w:t xml:space="preserve">C. Economic Sensitivity Mapping</w:t>
      </w:r>
    </w:p>
    <w:p>
      <w:pPr>
        <w:pStyle w:val="FirstParagraph"/>
      </w:pPr>
      <w:r>
        <w:t xml:space="preserve">Through scenario modeling, the Financial Analyst team identified that KL's commercial real estate market volatility (impacting 12% of our client base) presented a risk that required proactive mitigation. Our Q3 strategy included a 25% discount on extended service contracts for affected clients, resulting in 93% retention versus industry average of 68%. This data-driven approach prevented potential RM 4.1M in revenue leakage.</w:t>
      </w:r>
    </w:p>
    <w:bookmarkEnd w:id="24"/>
    <w:bookmarkEnd w:id="25"/>
    <w:bookmarkStart w:id="26" w:name="iv.-malaysia-kuala-lumpur-market-context"/>
    <w:p>
      <w:pPr>
        <w:pStyle w:val="Heading2"/>
      </w:pPr>
      <w:r>
        <w:t xml:space="preserve">IV. Malaysia Kuala Lumpur Market Context</w:t>
      </w:r>
    </w:p>
    <w:p>
      <w:pPr>
        <w:pStyle w:val="FirstParagraph"/>
      </w:pPr>
      <w:r>
        <w:t xml:space="preserve">The unique dynamics of Malaysia Kuala Lumpur demand specialized analytical approaches that our Financial Analyst framework addresses:</w:t>
      </w:r>
    </w:p>
    <w:p>
      <w:pPr>
        <w:numPr>
          <w:ilvl w:val="0"/>
          <w:numId w:val="1002"/>
        </w:numPr>
        <w:pStyle w:val="Compact"/>
      </w:pPr>
      <w:r>
        <w:rPr>
          <w:bCs/>
          <w:b/>
        </w:rPr>
        <w:t xml:space="preserve">Cultural Nuances:</w:t>
      </w:r>
      <w:r>
        <w:t xml:space="preserve"> </w:t>
      </w:r>
      <w:r>
        <w:t xml:space="preserve">Sales Report data shows 34% higher conversion rates when sales teams incorporate local business etiquette (e.g., morning tea meetings) - a factor embedded in our KL performance metrics.</w:t>
      </w:r>
    </w:p>
    <w:p>
      <w:pPr>
        <w:numPr>
          <w:ilvl w:val="0"/>
          <w:numId w:val="1002"/>
        </w:numPr>
        <w:pStyle w:val="Compact"/>
      </w:pPr>
      <w:r>
        <w:rPr>
          <w:bCs/>
          <w:b/>
        </w:rPr>
        <w:t xml:space="preserve">Regulatory Environment:</w:t>
      </w:r>
      <w:r>
        <w:t xml:space="preserve"> </w:t>
      </w:r>
      <w:r>
        <w:t xml:space="preserve">The Financial Analyst team tracks Bank Negara Malaysia's quarterly regulatory updates, enabling us to adjust service offerings 2-3 weeks faster than competitors.</w:t>
      </w:r>
    </w:p>
    <w:p>
      <w:pPr>
        <w:numPr>
          <w:ilvl w:val="0"/>
          <w:numId w:val="1002"/>
        </w:numPr>
        <w:pStyle w:val="Compact"/>
      </w:pPr>
      <w:r>
        <w:rPr>
          <w:bCs/>
          <w:b/>
        </w:rPr>
        <w:t xml:space="preserve">Competitive Landscape:</w:t>
      </w:r>
      <w:r>
        <w:t xml:space="preserve"> </w:t>
      </w:r>
      <w:r>
        <w:t xml:space="preserve">Our market share in KL increased from 17.2% to 20.9% this quarter, outpacing competitors by 5.1 percentage points according to our Financial Analyst's proprietary market intelligence tool (MIST).</w:t>
      </w:r>
    </w:p>
    <w:bookmarkEnd w:id="26"/>
    <w:bookmarkStart w:id="27" w:name="v.-strategic-recommendations-for-h2-2023"/>
    <w:p>
      <w:pPr>
        <w:pStyle w:val="Heading2"/>
      </w:pPr>
      <w:r>
        <w:t xml:space="preserve">V. Strategic Recommendations for H2 2023</w:t>
      </w:r>
    </w:p>
    <w:p>
      <w:pPr>
        <w:pStyle w:val="FirstParagraph"/>
      </w:pPr>
      <w:r>
        <w:t xml:space="preserve">Based on the comprehensive Sales Report and Financial Analyst analysis, we recommend:</w:t>
      </w:r>
    </w:p>
    <w:p>
      <w:pPr>
        <w:numPr>
          <w:ilvl w:val="0"/>
          <w:numId w:val="1003"/>
        </w:numPr>
        <w:pStyle w:val="Compact"/>
      </w:pPr>
      <w:r>
        <w:rPr>
          <w:bCs/>
          <w:b/>
        </w:rPr>
        <w:t xml:space="preserve">Expand KL Digital Service Hubs:</w:t>
      </w:r>
      <w:r>
        <w:t xml:space="preserve"> </w:t>
      </w:r>
      <w:r>
        <w:t xml:space="preserve">Allocate RM 6.5M to establish two new tech-enabled sales centers in Bangsar and Damansara Heights, targeting high-growth SME clusters identified by our Financial Analyst team's geospatial analysis.</w:t>
      </w:r>
    </w:p>
    <w:p>
      <w:pPr>
        <w:numPr>
          <w:ilvl w:val="0"/>
          <w:numId w:val="1003"/>
        </w:numPr>
        <w:pStyle w:val="Compact"/>
      </w:pPr>
      <w:r>
        <w:rPr>
          <w:bCs/>
          <w:b/>
        </w:rPr>
        <w:t xml:space="preserve">ESG Solution Acceleration:</w:t>
      </w:r>
      <w:r>
        <w:t xml:space="preserve"> </w:t>
      </w:r>
      <w:r>
        <w:t xml:space="preserve">Dedicate 20% of Q4 sales training to ESG compliance - projected to capture RM 12.3M in new revenue from KL-based firms required to meet new MCA sustainability reporting standards.</w:t>
      </w:r>
    </w:p>
    <w:p>
      <w:pPr>
        <w:numPr>
          <w:ilvl w:val="0"/>
          <w:numId w:val="1003"/>
        </w:numPr>
        <w:pStyle w:val="Compact"/>
      </w:pPr>
      <w:r>
        <w:rPr>
          <w:bCs/>
          <w:b/>
        </w:rPr>
        <w:t xml:space="preserve">Client Portfolio Optimization:</w:t>
      </w:r>
      <w:r>
        <w:t xml:space="preserve"> </w:t>
      </w:r>
      <w:r>
        <w:t xml:space="preserve">Reduce focus on low-margin sectors (e.g., retail banking) by 15% and redirect resources toward high-growth areas like fintech partnerships, as validated by our Financial Analyst's ROI modeling.</w:t>
      </w:r>
    </w:p>
    <w:bookmarkEnd w:id="27"/>
    <w:bookmarkStart w:id="28" w:name="X535ddc55e82779477d9a97db7d1764d6fdadfba"/>
    <w:p>
      <w:pPr>
        <w:pStyle w:val="Heading2"/>
      </w:pPr>
      <w:r>
        <w:t xml:space="preserve">VI. Conclusion: The Value of Integrated Sales &amp; Financial Analysis</w:t>
      </w:r>
    </w:p>
    <w:p>
      <w:pPr>
        <w:pStyle w:val="FirstParagraph"/>
      </w:pPr>
      <w:r>
        <w:t xml:space="preserve">This Sales Report demonstrates how an integrated approach between sales execution and financial analysis creates significant competitive advantage in Malaysia Kuala Lumpur's complex market. Our Financial Analyst team has not merely reported numbers but transformed data into actionable business intelligence that directly fueled our 18.7% Q3 growth.</w:t>
      </w:r>
    </w:p>
    <w:p>
      <w:pPr>
        <w:pStyle w:val="BodyText"/>
      </w:pPr>
      <w:r>
        <w:t xml:space="preserve">The success in Malaysia Kuala Lumpur proves that location-specific analytics are non-negotiable for regional success. The Financial Analyst framework developed for KL—incorporating cultural, regulatory, and market dynamics—has become our regional benchmark. Moving forward, we'll embed these insights directly into sales KPIs to ensure all teams operate with the same data-driven perspective.</w:t>
      </w:r>
    </w:p>
    <w:p>
      <w:pPr>
        <w:pStyle w:val="BodyText"/>
      </w:pPr>
      <w:r>
        <w:t xml:space="preserve">As the premier Financial Analyst supporting Malaysia Kuala Lumpur operations, I'm confident these strategies will position us to capture 25% market share in KL's financial technology services by Q1 2024. This Sales Report serves as both a performance record and strategic roadmap for our continued leadership in this critical Southeast Asian market.</w:t>
      </w:r>
    </w:p>
    <w:p>
      <w:pPr>
        <w:pStyle w:val="BodyText"/>
      </w:pPr>
      <w:r>
        <w:rPr>
          <w:bCs/>
          <w:b/>
        </w:rPr>
        <w:t xml:space="preserve">Appendix: Key Performance Indicators (Q3 2023)</w:t>
      </w:r>
    </w:p>
    <w:p>
      <w:pPr>
        <w:pStyle w:val="BodyText"/>
      </w:pPr>
      <w:r>
        <w:t xml:space="preserve">KPI</w:t>
      </w:r>
    </w:p>
    <w:p>
      <w:pPr>
        <w:pStyle w:val="BodyText"/>
      </w:pPr>
      <w:r>
        <w:t xml:space="preserve">Q3 2023</w:t>
      </w:r>
    </w:p>
    <w:p>
      <w:pPr>
        <w:pStyle w:val="BodyText"/>
      </w:pPr>
      <w:r>
        <w:t xml:space="preserve">Industry Avg.</w:t>
      </w:r>
    </w:p>
    <w:p>
      <w:pPr>
        <w:pStyle w:val="BodyText"/>
      </w:pPr>
      <w:r>
        <w:t xml:space="preserve">Variance</w:t>
      </w:r>
    </w:p>
    <w:p>
      <w:pPr>
        <w:pStyle w:val="BodyText"/>
      </w:pPr>
      <w:r>
        <w:t xml:space="preserve">Revenue Growth (KL)</w:t>
      </w:r>
    </w:p>
    <w:p>
      <w:pPr>
        <w:pStyle w:val="BodyText"/>
      </w:pPr>
      <w:r>
        <w:t xml:space="preserve">18.7%</w:t>
      </w:r>
    </w:p>
    <w:p>
      <w:pPr>
        <w:pStyle w:val="BodyText"/>
      </w:pPr>
      <w:r>
        <w:t xml:space="preserve">5.3%</w:t>
      </w:r>
    </w:p>
    <w:p>
      <w:pPr>
        <w:pStyle w:val="BodyText"/>
      </w:pPr>
      <w:r>
        <w:t xml:space="preserve">+13.4pp</w:t>
      </w:r>
    </w:p>
    <w:p>
      <w:pPr>
        <w:pStyle w:val="BodyText"/>
      </w:pPr>
      <w:r>
        <w:t xml:space="preserve">Client Retention Rate</w:t>
      </w:r>
    </w:p>
    <w:p>
      <w:pPr>
        <w:pStyle w:val="BodyText"/>
      </w:pPr>
      <w:r>
        <w:t xml:space="preserve">89%</w:t>
      </w:r>
    </w:p>
    <w:p>
      <w:pPr>
        <w:pStyle w:val="BodyText"/>
      </w:pPr>
      <w:r>
        <w:t xml:space="preserve">82%+7pp</w:t>
      </w:r>
    </w:p>
    <w:p>
      <w:pPr>
        <w:pStyle w:val="BodyText"/>
      </w:pPr>
      <w:r>
        <w:t xml:space="preserve">Digital Channel Contribution</w:t>
      </w:r>
    </w:p>
    <w:p>
      <w:pPr>
        <w:pStyle w:val="BodyText"/>
      </w:pPr>
      <w:r>
        <w:t xml:space="preserve">68%</w:t>
      </w:r>
    </w:p>
    <w:p>
      <w:pPr>
        <w:pStyle w:val="BodyText"/>
      </w:pPr>
      <w:r>
        <w:t xml:space="preserve">300% ROI vs. traditional channels</w:t>
      </w:r>
    </w:p>
    <w:p>
      <w:pPr>
        <w:pStyle w:val="BodyText"/>
      </w:pPr>
      <w:r>
        <w:t xml:space="preserve">ESG Solution Adoption Rate</w:t>
      </w:r>
    </w:p>
    <w:p>
      <w:pPr>
        <w:pStyle w:val="BodyText"/>
      </w:pPr>
      <w:r>
        <w:t xml:space="preserve">&lt; td&gt;41%N/A&lt; t d &gt;+41pp over Q2</w:t>
      </w:r>
    </w:p>
    <w:p>
      <w:pPr>
        <w:pStyle w:val="BodyText"/>
      </w:pPr>
      <w:r>
        <w:rPr>
          <w:iCs/>
          <w:i/>
        </w:rPr>
        <w:t xml:space="preserve">This Sales Report has been reviewed by the Financial Analyst team and approved by the Malaysia Kuala Lumpur Regional Director. All data sourced from our integrated CRM system (Salesforce) and internal financial analytics platform (FAROS), verified against Bank Negara Malaysia statistics and MIDA market reports.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Performance Report - Financial Analyst Perspective | Malaysia Kuala Lumpur</dc:title>
  <dc:creator/>
  <dc:language>en</dc:language>
  <cp:keywords/>
  <dcterms:created xsi:type="dcterms:W3CDTF">2026-07-23T16:57:31Z</dcterms:created>
  <dcterms:modified xsi:type="dcterms:W3CDTF">2026-07-23T16:57:31Z</dcterms:modified>
</cp:coreProperties>
</file>

<file path=docProps/custom.xml><?xml version="1.0" encoding="utf-8"?>
<Properties xmlns="http://schemas.openxmlformats.org/officeDocument/2006/custom-properties" xmlns:vt="http://schemas.openxmlformats.org/officeDocument/2006/docPropsVTypes"/>
</file>