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Mexico</w:t>
      </w:r>
      <w:r>
        <w:t xml:space="preserve"> </w:t>
      </w:r>
      <w:r>
        <w:t xml:space="preserve">City</w:t>
      </w:r>
    </w:p>
    <w:bookmarkStart w:id="28" w:name="Xa0cb566d7da842e691ea092756edb63caa14d77"/>
    <w:p>
      <w:pPr>
        <w:pStyle w:val="Heading1"/>
      </w:pPr>
      <w:r>
        <w:t xml:space="preserve">Annual Sales Performance Report: Financial Analyst Contribution to Revenue Growth in Mexico City</w:t>
      </w:r>
    </w:p>
    <w:bookmarkStart w:id="20" w:name="executive-summary"/>
    <w:p>
      <w:pPr>
        <w:pStyle w:val="Heading2"/>
      </w:pPr>
      <w:r>
        <w:t xml:space="preserve">Executive Summary</w:t>
      </w:r>
    </w:p>
    <w:p>
      <w:pPr>
        <w:pStyle w:val="FirstParagraph"/>
      </w:pPr>
      <w:r>
        <w:t xml:space="preserve">This comprehensive Sales Report details the strategic impact of the Financial Analyst role within our Mexico City operations for Q3 2023. The Financial Analyst position has emerged as a critical catalyst for data-driven sales decisions, directly contributing to a 18.7% year-over-year revenue increase in the Mexico City market. This report underscores how the Financial Analyst's analytical rigor, coupled with deep understanding of local economic dynamics, transformed sales forecasting accuracy and optimized resource allocation across our regional business units.</w:t>
      </w:r>
    </w:p>
    <w:bookmarkEnd w:id="20"/>
    <w:bookmarkStart w:id="21" w:name="Xe3efe1469a1fa9a02987cb02d3fdb8186800d89"/>
    <w:p>
      <w:pPr>
        <w:pStyle w:val="Heading2"/>
      </w:pPr>
      <w:r>
        <w:t xml:space="preserve">Market Context: Mexico City Economic Landscape</w:t>
      </w:r>
    </w:p>
    <w:p>
      <w:pPr>
        <w:pStyle w:val="FirstParagraph"/>
      </w:pPr>
      <w:r>
        <w:t xml:space="preserve">Operating within Mexico City requires nuanced financial navigation due to unique market variables. The city accounts for over 30% of Mexico's GDP, yet faces challenges including currency volatility (MXN/USD exchange rate fluctuations averaging ±4.5% monthly in 2023), complex tax regulations, and seasonal demand patterns tied to local holidays like Cinco de Mayo and Día de Muertos. Our Financial Analyst team has consistently demonstrated exceptional adaptability to these conditions, translating macroeconomic trends into actionable sales strategies for the Mexico City market.</w:t>
      </w:r>
    </w:p>
    <w:bookmarkEnd w:id="21"/>
    <w:bookmarkStart w:id="22" w:name="X1445041b28ff179829d84a92bb40b1ec0ee9790"/>
    <w:p>
      <w:pPr>
        <w:pStyle w:val="Heading2"/>
      </w:pPr>
      <w:r>
        <w:t xml:space="preserve">Key Sales Metrics: Financial Analyst-Driven Outcomes</w:t>
      </w:r>
    </w:p>
    <w:p>
      <w:pPr>
        <w:pStyle w:val="FirstParagraph"/>
      </w:pPr>
      <w:r>
        <w:t xml:space="preserve">The following table summarizes critical metrics directly influenced by Financial Analyst insights:</w:t>
      </w:r>
    </w:p>
    <w:p>
      <w:pPr>
        <w:pStyle w:val="BodyText"/>
      </w:pPr>
      <w:r>
        <w:t xml:space="preserve">KPI</w:t>
      </w:r>
    </w:p>
    <w:p>
      <w:pPr>
        <w:pStyle w:val="BodyText"/>
      </w:pPr>
      <w:r>
        <w:t xml:space="preserve">2022 Actual</w:t>
      </w:r>
    </w:p>
    <w:p>
      <w:pPr>
        <w:pStyle w:val="BodyText"/>
      </w:pPr>
      <w:r>
        <w:t xml:space="preserve">2023 Target</w:t>
      </w:r>
    </w:p>
    <w:p>
      <w:pPr>
        <w:pStyle w:val="BodyText"/>
      </w:pPr>
      <w:r>
        <w:t xml:space="preserve">2023 Actual (Q3)</w:t>
      </w:r>
    </w:p>
    <w:p>
      <w:pPr>
        <w:pStyle w:val="BodyText"/>
      </w:pPr>
      <w:r>
        <w:t xml:space="preserve">YoY Δ%</w:t>
      </w:r>
    </w:p>
    <w:p>
      <w:pPr>
        <w:pStyle w:val="BodyText"/>
      </w:pPr>
      <w:r>
        <w:t xml:space="preserve">Sales Forecast Accuracy</w:t>
      </w:r>
    </w:p>
    <w:p>
      <w:pPr>
        <w:pStyle w:val="BodyText"/>
      </w:pPr>
      <w:r>
        <w:t xml:space="preserve">68%</w:t>
      </w:r>
    </w:p>
    <w:p>
      <w:pPr>
        <w:pStyle w:val="BodyText"/>
      </w:pPr>
      <w:r>
        <w:t xml:space="preserve">85%</w:t>
      </w:r>
    </w:p>
    <w:p>
      <w:pPr>
        <w:pStyle w:val="BodyText"/>
      </w:pPr>
      <w:r>
        <w:t xml:space="preserve">87.4%</w:t>
      </w:r>
    </w:p>
    <w:p>
      <w:pPr>
        <w:pStyle w:val="BodyText"/>
      </w:pPr>
      <w:r>
        <w:t xml:space="preserve">+19.4 pts</w:t>
      </w:r>
    </w:p>
    <w:p>
      <w:pPr>
        <w:pStyle w:val="BodyText"/>
      </w:pPr>
      <w:r>
        <w:t xml:space="preserve">Lead Conversion Rate (Mexico City)</w:t>
      </w:r>
    </w:p>
    <w:p>
      <w:pPr>
        <w:pStyle w:val="BodyText"/>
      </w:pPr>
      <w:r>
        <w:t xml:space="preserve">23.1%</w:t>
      </w:r>
    </w:p>
    <w:p>
      <w:pPr>
        <w:pStyle w:val="BodyText"/>
      </w:pPr>
      <w:r>
        <w:t xml:space="preserve">28.5%</w:t>
      </w:r>
    </w:p>
    <w:p>
      <w:pPr>
        <w:pStyle w:val="BodyText"/>
      </w:pPr>
      <w:r>
        <w:t xml:space="preserve">30.7%</w:t>
      </w:r>
    </w:p>
    <w:p>
      <w:pPr>
        <w:pStyle w:val="BodyText"/>
      </w:pPr>
      <w:r>
        <w:t xml:space="preserve">+7.6 pts</w:t>
      </w:r>
    </w:p>
    <w:p>
      <w:pPr>
        <w:pStyle w:val="BodyText"/>
      </w:pPr>
      <w:r>
        <w:t xml:space="preserve">New Client Acquisition Cost</w:t>
      </w:r>
    </w:p>
    <w:p>
      <w:pPr>
        <w:pStyle w:val="BodyText"/>
      </w:pPr>
      <w:r>
        <w:t xml:space="preserve">$4,850</w:t>
      </w:r>
    </w:p>
    <w:p>
      <w:pPr>
        <w:pStyle w:val="BodyText"/>
      </w:pPr>
      <w:r>
        <w:t xml:space="preserve">$4,200</w:t>
      </w:r>
    </w:p>
    <w:p>
      <w:pPr>
        <w:pStyle w:val="BodyText"/>
      </w:pPr>
      <w:r>
        <w:t xml:space="preserve">$3,982</w:t>
      </w:r>
    </w:p>
    <w:p>
      <w:pPr>
        <w:pStyle w:val="BodyText"/>
      </w:pPr>
      <w:r>
        <w:t xml:space="preserve">Regional Revenue Contribution (MXC)</w:t>
      </w:r>
    </w:p>
    <w:p>
      <w:pPr>
        <w:pStyle w:val="BodyText"/>
      </w:pPr>
      <w:r>
        <w:t xml:space="preserve">31.2%</w:t>
      </w:r>
    </w:p>
    <w:p>
      <w:pPr>
        <w:pStyle w:val="BodyText"/>
      </w:pPr>
      <w:r>
        <w:t xml:space="preserve">35.7%</w:t>
      </w:r>
    </w:p>
    <w:p>
      <w:pPr>
        <w:pStyle w:val="BodyText"/>
      </w:pPr>
      <w:r>
        <w:t xml:space="preserve">37.1%</w:t>
      </w:r>
    </w:p>
    <w:bookmarkEnd w:id="22"/>
    <w:bookmarkStart w:id="23" w:name="Xf4f19795c8303d832d07ab12921f5e0039bf9b1"/>
    <w:p>
      <w:pPr>
        <w:pStyle w:val="Heading2"/>
      </w:pPr>
      <w:r>
        <w:t xml:space="preserve">The Strategic Role of the Financial Analyst in Mexico City Operations</w:t>
      </w:r>
    </w:p>
    <w:p>
      <w:pPr>
        <w:pStyle w:val="FirstParagraph"/>
      </w:pPr>
      <w:r>
        <w:t xml:space="preserve">In Mexico City, the Financial Analyst transcends traditional number-crunching duties to become a sales execution partner. This role requires fluency in local business culture—understanding how relationships (confianza) impact deal timing and navigating bureaucratic nuances within Mexican regulatory frameworks. Our Financial Analysts perform three core functions directly tied to sales performance:</w:t>
      </w:r>
    </w:p>
    <w:p>
      <w:pPr>
        <w:numPr>
          <w:ilvl w:val="0"/>
          <w:numId w:val="1001"/>
        </w:numPr>
        <w:pStyle w:val="Compact"/>
      </w:pPr>
      <w:r>
        <w:rPr>
          <w:bCs/>
          <w:b/>
        </w:rPr>
        <w:t xml:space="preserve">Dynamic Pricing Optimization</w:t>
      </w:r>
      <w:r>
        <w:t xml:space="preserve">: By analyzing historical sales data against inflation rates (e.g., 3.5% year-to-date in Mexico City), the Financial Analyst recommended tiered pricing models that increased average deal size by 12.3% without compromising competitiveness.</w:t>
      </w:r>
    </w:p>
    <w:p>
      <w:pPr>
        <w:numPr>
          <w:ilvl w:val="0"/>
          <w:numId w:val="1001"/>
        </w:numPr>
        <w:pStyle w:val="Compact"/>
      </w:pPr>
      <w:r>
        <w:rPr>
          <w:bCs/>
          <w:b/>
        </w:rPr>
        <w:t xml:space="preserve">Resource Allocation Intelligence</w:t>
      </w:r>
      <w:r>
        <w:t xml:space="preserve">: Using predictive analytics on seasonal demand spikes (notably during the "Holiday Season" period from October to December), the Financial Analyst reallocated sales team coverage to high-potential sectors like retail and manufacturing, boosting targeted campaigns by 27%.</w:t>
      </w:r>
    </w:p>
    <w:p>
      <w:pPr>
        <w:numPr>
          <w:ilvl w:val="0"/>
          <w:numId w:val="1001"/>
        </w:numPr>
        <w:pStyle w:val="Compact"/>
      </w:pPr>
      <w:r>
        <w:rPr>
          <w:bCs/>
          <w:b/>
        </w:rPr>
        <w:t xml:space="preserve">Risk-Adjusted Opportunity Scoring</w:t>
      </w:r>
      <w:r>
        <w:t xml:space="preserve">: The Financial Analyst developed a proprietary risk matrix evaluating client financial health using local data sources (e.g., Banco de México reports, CONEVAL poverty metrics), reducing bad debt exposure by 19% while maintaining sales velocity in Mexico City.</w:t>
      </w:r>
    </w:p>
    <w:bookmarkEnd w:id="23"/>
    <w:bookmarkStart w:id="24" w:name="Xa085542b8cc0adcb30330cfc787d230a29f0687"/>
    <w:p>
      <w:pPr>
        <w:pStyle w:val="Heading2"/>
      </w:pPr>
      <w:r>
        <w:t xml:space="preserve">Case Study: Securing the Cemex Regional Contract</w:t>
      </w:r>
    </w:p>
    <w:p>
      <w:pPr>
        <w:pStyle w:val="FirstParagraph"/>
      </w:pPr>
      <w:r>
        <w:t xml:space="preserve">A prime example of the Financial Analyst's impact occurred during negotiations with Cementos Mexicanos (Cemex), Mexico City's largest cement manufacturer. The Financial Analyst identified that Cemex was nearing its 18% debt-to-equity threshold per Mexican banking regulations. By presenting a risk-adjusted proposal showing how our solution would improve their working capital ratio by 3.2%, the Analyst enabled our sales team to close a $4.8M contract—previously deemed high-risk—within two weeks of the proposal.</w:t>
      </w:r>
    </w:p>
    <w:bookmarkEnd w:id="24"/>
    <w:bookmarkStart w:id="25" w:name="challenges-overcome-in-mexico-city"/>
    <w:p>
      <w:pPr>
        <w:pStyle w:val="Heading2"/>
      </w:pPr>
      <w:r>
        <w:t xml:space="preserve">Challenges Overcome in Mexico City</w:t>
      </w:r>
    </w:p>
    <w:p>
      <w:pPr>
        <w:pStyle w:val="FirstParagraph"/>
      </w:pPr>
      <w:r>
        <w:t xml:space="preserve">The Mexico City market presented unique challenges where Financial Analyst expertise proved indispensable:</w:t>
      </w:r>
    </w:p>
    <w:p>
      <w:pPr>
        <w:numPr>
          <w:ilvl w:val="0"/>
          <w:numId w:val="1002"/>
        </w:numPr>
        <w:pStyle w:val="Compact"/>
      </w:pPr>
      <w:r>
        <w:rPr>
          <w:iCs/>
          <w:i/>
        </w:rPr>
        <w:t xml:space="preserve">Currency Volatility Management</w:t>
      </w:r>
      <w:r>
        <w:t xml:space="preserve">: When the MXN depreciated 8.3% against USD in Q1 2023, the Financial Analyst immediately revised pricing strategies for our export-focused clients, preventing a projected $1.2M revenue loss.</w:t>
      </w:r>
    </w:p>
    <w:p>
      <w:pPr>
        <w:numPr>
          <w:ilvl w:val="0"/>
          <w:numId w:val="1002"/>
        </w:numPr>
        <w:pStyle w:val="Compact"/>
      </w:pPr>
      <w:r>
        <w:rPr>
          <w:iCs/>
          <w:i/>
        </w:rPr>
        <w:t xml:space="preserve">Regulatory Compliance Acceleration</w:t>
      </w:r>
      <w:r>
        <w:t xml:space="preserve">: By interpreting new IFRS 17 insurance standards (effective Jan 2023), the Financial Analyst streamlined documentation for sales teams, reducing contract approval timelines from 45 to 18 days in Mexico City.</w:t>
      </w:r>
    </w:p>
    <w:p>
      <w:pPr>
        <w:numPr>
          <w:ilvl w:val="0"/>
          <w:numId w:val="1002"/>
        </w:numPr>
        <w:pStyle w:val="Compact"/>
      </w:pPr>
      <w:r>
        <w:rPr>
          <w:iCs/>
          <w:i/>
        </w:rPr>
        <w:t xml:space="preserve">Cultural Alignment of Data</w:t>
      </w:r>
      <w:r>
        <w:t xml:space="preserve">: The Financial Analyst collaborated with local sales managers to adapt global KPIs into culturally resonant metrics (e.g., measuring "relationship value" through client engagement frequency rather than pure transaction volume).</w:t>
      </w:r>
    </w:p>
    <w:bookmarkEnd w:id="25"/>
    <w:bookmarkStart w:id="26" w:name="X0193943af63e8dcd2e5cd68f29bf7fde7a4715e"/>
    <w:p>
      <w:pPr>
        <w:pStyle w:val="Heading2"/>
      </w:pPr>
      <w:r>
        <w:t xml:space="preserve">Future Strategic Recommendations for Mexico City</w:t>
      </w:r>
    </w:p>
    <w:p>
      <w:pPr>
        <w:pStyle w:val="FirstParagraph"/>
      </w:pPr>
      <w:r>
        <w:t xml:space="preserve">To further leverage the Financial Analyst's strategic value in Mexico City, we recommend:</w:t>
      </w:r>
    </w:p>
    <w:p>
      <w:pPr>
        <w:numPr>
          <w:ilvl w:val="0"/>
          <w:numId w:val="1003"/>
        </w:numPr>
        <w:pStyle w:val="Compact"/>
      </w:pPr>
      <w:r>
        <w:rPr>
          <w:bCs/>
          <w:b/>
        </w:rPr>
        <w:t xml:space="preserve">Integrate Local Economic Indicators</w:t>
      </w:r>
      <w:r>
        <w:t xml:space="preserve">: Embed real-time data from INEGI (National Institute of Statistics) into our sales dashboards to anticipate market shifts.</w:t>
      </w:r>
    </w:p>
    <w:p>
      <w:pPr>
        <w:numPr>
          <w:ilvl w:val="0"/>
          <w:numId w:val="1003"/>
        </w:numPr>
        <w:pStyle w:val="Compact"/>
      </w:pPr>
      <w:r>
        <w:rPr>
          <w:bCs/>
          <w:b/>
        </w:rPr>
        <w:t xml:space="preserve">Cultivate "Sales-Finance" Dual-Track Training</w:t>
      </w:r>
      <w:r>
        <w:t xml:space="preserve">: Develop certification programs where Financial Analysts gain Mexico City-specific sales methodologies (e.g., "Cultural Intelligence for Negotiations") while sales reps learn financial literacy basics.</w:t>
      </w:r>
    </w:p>
    <w:p>
      <w:pPr>
        <w:numPr>
          <w:ilvl w:val="0"/>
          <w:numId w:val="1003"/>
        </w:numPr>
        <w:pStyle w:val="Compact"/>
      </w:pPr>
      <w:r>
        <w:rPr>
          <w:bCs/>
          <w:b/>
        </w:rPr>
        <w:t xml:space="preserve">Expand Predictive Analytics Capabilities</w:t>
      </w:r>
      <w:r>
        <w:t xml:space="preserve">: Deploy machine learning models trained on Mexico City's unique commercial patterns to forecast demand spikes with 90%+ accuracy by Q1 2024.</w:t>
      </w:r>
    </w:p>
    <w:bookmarkEnd w:id="26"/>
    <w:bookmarkStart w:id="27" w:name="X315cbcff26ea0e5db0f95a6323980e33f2da979"/>
    <w:p>
      <w:pPr>
        <w:pStyle w:val="Heading2"/>
      </w:pPr>
      <w:r>
        <w:t xml:space="preserve">Conclusion: The Indispensable Financial Analyst in Mexico City</w:t>
      </w:r>
    </w:p>
    <w:p>
      <w:pPr>
        <w:pStyle w:val="FirstParagraph"/>
      </w:pPr>
      <w:r>
        <w:t xml:space="preserve">This Sales Report unequivocally demonstrates that the Financial Analyst role is no longer a back-office function but the central nervous system of sales success in Mexico City. By transforming complex financial data into localized, actionable intelligence—navigating everything from Peso fluctuations to Mexican business etiquette—the Financial Analyst has directly driven revenue growth, risk mitigation, and competitive differentiation. As Mexico City remains our largest and most strategically vital market (accounting for 37.1% of regional revenue in Q3), investing further in this role is not merely advisable—it's essential to sustaining our leadership position.</w:t>
      </w:r>
    </w:p>
    <w:p>
      <w:pPr>
        <w:pStyle w:val="BodyText"/>
      </w:pPr>
      <w:r>
        <w:t xml:space="preserve">With the Financial Analyst team now operating as a sales force multiplier, we project an additional 22-25% revenue growth for Mexico City in 2024 through continued data-driven sales strategy execution. This Sales Report confirms that the synergy between financial insight and local market expertise is the definitive engine of success in Mexico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Mexico City</dc:title>
  <dc:creator/>
  <dc:language>en</dc:language>
  <cp:keywords/>
  <dcterms:created xsi:type="dcterms:W3CDTF">2025-12-12T03:40:34Z</dcterms:created>
  <dcterms:modified xsi:type="dcterms:W3CDTF">2025-12-12T03:40:34Z</dcterms:modified>
</cp:coreProperties>
</file>

<file path=docProps/custom.xml><?xml version="1.0" encoding="utf-8"?>
<Properties xmlns="http://schemas.openxmlformats.org/officeDocument/2006/custom-properties" xmlns:vt="http://schemas.openxmlformats.org/officeDocument/2006/docPropsVTypes"/>
</file>