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Performance</w:t>
      </w:r>
      <w:r>
        <w:t xml:space="preserve"> </w:t>
      </w:r>
      <w:r>
        <w:t xml:space="preserve">Report:</w:t>
      </w:r>
      <w:r>
        <w:t xml:space="preserve"> </w:t>
      </w:r>
      <w:r>
        <w:t xml:space="preserve">Financial</w:t>
      </w:r>
      <w:r>
        <w:t xml:space="preserve"> </w:t>
      </w:r>
      <w:r>
        <w:t xml:space="preserve">Analyst</w:t>
      </w:r>
      <w:r>
        <w:t xml:space="preserve"> </w:t>
      </w:r>
      <w:r>
        <w:t xml:space="preserve">Insights</w:t>
      </w:r>
      <w:r>
        <w:t xml:space="preserve"> </w:t>
      </w:r>
      <w:r>
        <w:t xml:space="preserve">-</w:t>
      </w:r>
      <w:r>
        <w:t xml:space="preserve"> </w:t>
      </w:r>
      <w:r>
        <w:t xml:space="preserve">Netherlands</w:t>
      </w:r>
      <w:r>
        <w:t xml:space="preserve"> </w:t>
      </w:r>
      <w:r>
        <w:t xml:space="preserve">Amsterdam</w:t>
      </w:r>
    </w:p>
    <w:bookmarkStart w:id="27" w:name="Xed2e6d18449ba173021866188279f874c3b2c29"/>
    <w:p>
      <w:pPr>
        <w:pStyle w:val="Heading1"/>
      </w:pPr>
      <w:r>
        <w:t xml:space="preserve">Quarterly Sales Performance Report: Strategic Financial Analysis Driving Growth in Netherlands Amsterdam</w:t>
      </w:r>
    </w:p>
    <w:bookmarkStart w:id="20" w:name="X8fac0f3f522540ea893f21998b449c6b02bc6ca"/>
    <w:p>
      <w:pPr>
        <w:pStyle w:val="Heading2"/>
      </w:pPr>
      <w:r>
        <w:t xml:space="preserve">Introduction: The Critical Role of Financial Analysts in Amsterdam's Competitive Market</w:t>
      </w:r>
    </w:p>
    <w:p>
      <w:pPr>
        <w:pStyle w:val="FirstParagraph"/>
      </w:pPr>
      <w:r>
        <w:t xml:space="preserve">This comprehensive Sales Report details the pivotal contributions of our Financial Analyst team within the Netherlands Amsterdam market. As the financial hub of Northwestern Europe, Amsterdam demands exceptional analytical rigor to navigate complex tax regulations, dynamic Eurozone economic shifts, and increasingly sophisticated client expectations. Our Financial Analysts have become indispensable assets in translating raw sales data into actionable growth strategies. This document underscores how strategic financial analysis directly impacts our sales trajectory across the Netherlands' most competitive market segment – Amsterdam's corporate finance sector.</w:t>
      </w:r>
    </w:p>
    <w:bookmarkEnd w:id="20"/>
    <w:bookmarkStart w:id="21" w:name="X90b36adbf24f619fde2669922303bbadc41179d"/>
    <w:p>
      <w:pPr>
        <w:pStyle w:val="Heading2"/>
      </w:pPr>
      <w:r>
        <w:t xml:space="preserve">Market Context: Amsterdam's Unique Financial Landscape</w:t>
      </w:r>
    </w:p>
    <w:p>
      <w:pPr>
        <w:pStyle w:val="FirstParagraph"/>
      </w:pPr>
      <w:r>
        <w:t xml:space="preserve">Operating within Netherlands Amsterdam requires specialized market intelligence. The city hosts over 500 international banks and 3,500 financial institutions, creating a hyper-competitive environment where even minor pricing missteps can cost significant market share. Recent EY data confirms that 68% of multinational corporations prioritize financial analytics capabilities when selecting service providers in Amsterdam. Our Sales Report demonstrates how our Financial Analysts' localized expertise delivers competitive advantages through:</w:t>
      </w:r>
    </w:p>
    <w:p>
      <w:pPr>
        <w:numPr>
          <w:ilvl w:val="0"/>
          <w:numId w:val="1001"/>
        </w:numPr>
        <w:pStyle w:val="Compact"/>
      </w:pPr>
      <w:r>
        <w:t xml:space="preserve">Real-time FX risk assessment for Dutch clients</w:t>
      </w:r>
    </w:p>
    <w:p>
      <w:pPr>
        <w:numPr>
          <w:ilvl w:val="0"/>
          <w:numId w:val="1001"/>
        </w:numPr>
        <w:pStyle w:val="Compact"/>
      </w:pPr>
      <w:r>
        <w:t xml:space="preserve">Compliance mapping with Dutch Tax Authority (Belastingdienst) requirements</w:t>
      </w:r>
    </w:p>
    <w:p>
      <w:pPr>
        <w:numPr>
          <w:ilvl w:val="0"/>
          <w:numId w:val="1001"/>
        </w:numPr>
        <w:pStyle w:val="Compact"/>
      </w:pPr>
      <w:r>
        <w:t xml:space="preserve">Pricing strategy optimization aligned with Amsterdam's premium business environment</w:t>
      </w:r>
    </w:p>
    <w:bookmarkEnd w:id="21"/>
    <w:bookmarkStart w:id="22" w:name="X6e78e8b31e8a46f6f589e504cc18b4e554e0792"/>
    <w:p>
      <w:pPr>
        <w:pStyle w:val="Heading2"/>
      </w:pPr>
      <w:r>
        <w:t xml:space="preserve">Sales Performance Analysis: Data-Driven Results in Q3 2023</w:t>
      </w:r>
    </w:p>
    <w:p>
      <w:pPr>
        <w:pStyle w:val="FirstParagraph"/>
      </w:pPr>
      <w:r>
        <w:t xml:space="preserve">Our Financial Analyst team processed over 17,500 sales transactions across the Netherlands Amsterdam region during Q3. The resulting Sales Report reveals:</w:t>
      </w:r>
    </w:p>
    <w:p>
      <w:pPr>
        <w:pStyle w:val="BodyText"/>
      </w:pPr>
      <w:r>
        <w:t xml:space="preserve">KPI</w:t>
      </w:r>
    </w:p>
    <w:p>
      <w:pPr>
        <w:pStyle w:val="BodyText"/>
      </w:pPr>
      <w:r>
        <w:t xml:space="preserve">Q2 2023</w:t>
      </w:r>
    </w:p>
    <w:p>
      <w:pPr>
        <w:pStyle w:val="BodyText"/>
      </w:pPr>
      <w:r>
        <w:t xml:space="preserve">Q3 2023</w:t>
      </w:r>
    </w:p>
    <w:p>
      <w:pPr>
        <w:pStyle w:val="BodyText"/>
      </w:pPr>
      <w:r>
        <w:t xml:space="preserve">Change</w:t>
      </w:r>
    </w:p>
    <w:p>
      <w:pPr>
        <w:pStyle w:val="BodyText"/>
      </w:pPr>
      <w:r>
        <w:t xml:space="preserve">Sales Revenue (€)</w:t>
      </w:r>
    </w:p>
    <w:p>
      <w:pPr>
        <w:pStyle w:val="BodyText"/>
      </w:pPr>
      <w:r>
        <w:t xml:space="preserve">8.4M</w:t>
      </w:r>
    </w:p>
    <w:p>
      <w:pPr>
        <w:pStyle w:val="BodyText"/>
      </w:pPr>
      <w:r>
        <w:t xml:space="preserve">10.7M</w:t>
      </w:r>
    </w:p>
    <w:p>
      <w:pPr>
        <w:pStyle w:val="BodyText"/>
      </w:pPr>
      <w:r>
        <w:t xml:space="preserve">+27.4%</w:t>
      </w:r>
    </w:p>
    <w:p>
      <w:pPr>
        <w:pStyle w:val="BodyText"/>
      </w:pPr>
      <w:r>
        <w:t xml:space="preserve">Client Acquisition Rate</w:t>
      </w:r>
    </w:p>
    <w:p>
      <w:pPr>
        <w:pStyle w:val="BodyText"/>
      </w:pPr>
      <w:r>
        <w:t xml:space="preserve">12.3%</w:t>
      </w:r>
    </w:p>
    <w:p>
      <w:pPr>
        <w:pStyle w:val="BodyText"/>
      </w:pPr>
      <w:r>
        <w:t xml:space="preserve">19.6%</w:t>
      </w:r>
    </w:p>
    <w:p>
      <w:pPr>
        <w:pStyle w:val="BodyText"/>
      </w:pPr>
      <w:r>
        <w:t xml:space="preserve">&lt;</w:t>
      </w:r>
    </w:p>
    <w:p>
      <w:pPr>
        <w:pStyle w:val="BodyText"/>
      </w:pPr>
      <w:r>
        <w:t xml:space="preserve">+65% YoY</w:t>
      </w:r>
    </w:p>
    <w:p>
      <w:pPr>
        <w:pStyle w:val="BodyText"/>
      </w:pPr>
      <w:r>
        <w:t xml:space="preserve">Cross-Sell Success Rate</w:t>
      </w:r>
    </w:p>
    <w:p>
      <w:pPr>
        <w:pStyle w:val="BodyText"/>
      </w:pPr>
      <w:r>
        <w:t xml:space="preserve">28%</w:t>
      </w:r>
    </w:p>
    <w:p>
      <w:pPr>
        <w:pStyle w:val="BodyText"/>
      </w:pPr>
      <w:r>
        <w:t xml:space="preserve">41%</w:t>
      </w:r>
    </w:p>
    <w:p>
      <w:pPr>
        <w:pStyle w:val="BodyText"/>
      </w:pPr>
      <w:r>
        <w:t xml:space="preserve">+46% YoY</w:t>
      </w:r>
    </w:p>
    <w:p>
      <w:pPr>
        <w:pStyle w:val="BodyText"/>
      </w:pPr>
      <w:r>
        <w:t xml:space="preserve">Client Retention (Amsterdam)</w:t>
      </w:r>
    </w:p>
    <w:p>
      <w:pPr>
        <w:pStyle w:val="BodyText"/>
      </w:pPr>
      <w:r>
        <w:t xml:space="preserve">82%</w:t>
      </w:r>
    </w:p>
    <w:p>
      <w:pPr>
        <w:pStyle w:val="BodyText"/>
      </w:pPr>
      <w:r>
        <w:t xml:space="preserve">&lt;</w:t>
      </w:r>
    </w:p>
    <w:p>
      <w:pPr>
        <w:pStyle w:val="BodyText"/>
      </w:pPr>
      <w:r>
        <w:t xml:space="preserve">93%</w:t>
      </w:r>
    </w:p>
    <w:p>
      <w:pPr>
        <w:pStyle w:val="BodyText"/>
      </w:pPr>
      <w:r>
        <w:t xml:space="preserve">The Financial Analysts identified that Amsterdam-specific factors drove 63% of this growth. By analyzing sector-specific spending patterns across Amsterdam's top industries – including financial services (42%), logistics (28%), and tech (19%) – our analysts developed predictive models that improved sales targeting accuracy by 37%. For instance, their analysis of the Dutch SME tax incentive programs directly enabled our sales team to close three major contracts with Amsterdam-based firms in Q3.</w:t>
      </w:r>
    </w:p>
    <w:bookmarkEnd w:id="22"/>
    <w:bookmarkStart w:id="23" w:name="X88ba8b6e1154de428d31ccd479f0aadfdbf69fe"/>
    <w:p>
      <w:pPr>
        <w:pStyle w:val="Heading2"/>
      </w:pPr>
      <w:r>
        <w:t xml:space="preserve">Key Challenges Addressed Through Financial Analysis</w:t>
      </w:r>
    </w:p>
    <w:p>
      <w:pPr>
        <w:pStyle w:val="FirstParagraph"/>
      </w:pPr>
      <w:r>
        <w:t xml:space="preserve">Operating in Netherlands Amsterdam presents unique challenges that demand specialized analytical approaches. Our Sales Report identifies three critical issues resolved through Financial Analyst interventions:</w:t>
      </w:r>
    </w:p>
    <w:p>
      <w:pPr>
        <w:numPr>
          <w:ilvl w:val="0"/>
          <w:numId w:val="1002"/>
        </w:numPr>
        <w:pStyle w:val="Compact"/>
      </w:pPr>
      <w:r>
        <w:rPr>
          <w:bCs/>
          <w:b/>
        </w:rPr>
        <w:t xml:space="preserve">Tax Complexity</w:t>
      </w:r>
      <w:r>
        <w:t xml:space="preserve">: Dutch VAT rules (21%) and recent corporate tax reforms created pricing confusion for sales teams. The Financial Analyst team developed an automated compliance dashboard that reduced sales quoting time by 58% while ensuring 100% regulatory alignment.</w:t>
      </w:r>
    </w:p>
    <w:p>
      <w:pPr>
        <w:numPr>
          <w:ilvl w:val="0"/>
          <w:numId w:val="1002"/>
        </w:numPr>
        <w:pStyle w:val="Compact"/>
      </w:pPr>
      <w:r>
        <w:rPr>
          <w:bCs/>
          <w:b/>
        </w:rPr>
        <w:t xml:space="preserve">Competitive Intelligence Gap</w:t>
      </w:r>
      <w:r>
        <w:t xml:space="preserve">: Competitors were underpricing services in Amsterdam's mid-market segment. Our Financial Analysts conducted a market share analysis revealing competitors' hidden cost structures, enabling our sales team to position value-based solutions that increased average deal size by 23%.</w:t>
      </w:r>
    </w:p>
    <w:p>
      <w:pPr>
        <w:numPr>
          <w:ilvl w:val="0"/>
          <w:numId w:val="1002"/>
        </w:numPr>
        <w:pStyle w:val="Compact"/>
      </w:pPr>
      <w:r>
        <w:rPr>
          <w:bCs/>
          <w:b/>
        </w:rPr>
        <w:t xml:space="preserve">Economic Volatility</w:t>
      </w:r>
      <w:r>
        <w:t xml:space="preserve">: The Netherlands' sensitivity to Eurozone inflation required agile pricing strategies. The Financial Analyst team implemented a real-time economic index model that allowed dynamic pricing adjustments, capturing an additional €1.8M in Q3 revenue during market fluctuations.</w:t>
      </w:r>
    </w:p>
    <w:bookmarkEnd w:id="23"/>
    <w:bookmarkStart w:id="24" w:name="X3061bb6dcc089c3f843b1f9ee72954125445b21"/>
    <w:p>
      <w:pPr>
        <w:pStyle w:val="Heading2"/>
      </w:pPr>
      <w:r>
        <w:t xml:space="preserve">Strategic Recommendations for Amsterdam's Financial Analyst Team</w:t>
      </w:r>
    </w:p>
    <w:p>
      <w:pPr>
        <w:pStyle w:val="FirstParagraph"/>
      </w:pPr>
      <w:r>
        <w:t xml:space="preserve">Based on our Sales Report analysis, we recommend three priority initiatives for enhancing the Financial Analyst function within Netherlands Amsterdam:</w:t>
      </w:r>
    </w:p>
    <w:p>
      <w:pPr>
        <w:numPr>
          <w:ilvl w:val="0"/>
          <w:numId w:val="1003"/>
        </w:numPr>
        <w:pStyle w:val="Compact"/>
      </w:pPr>
      <w:r>
        <w:rPr>
          <w:bCs/>
          <w:b/>
        </w:rPr>
        <w:t xml:space="preserve">Amsterdam-Specific Data Integration</w:t>
      </w:r>
      <w:r>
        <w:t xml:space="preserve">: Implement a dedicated Netherlands data lake containing local regulatory updates, tax codes, and industry benchmarks. This will empower Financial Analysts to deliver hyper-local insights that directly drive sales conversations.</w:t>
      </w:r>
    </w:p>
    <w:p>
      <w:pPr>
        <w:numPr>
          <w:ilvl w:val="0"/>
          <w:numId w:val="1003"/>
        </w:numPr>
        <w:pStyle w:val="Compact"/>
      </w:pPr>
      <w:r>
        <w:rPr>
          <w:bCs/>
          <w:b/>
        </w:rPr>
        <w:t xml:space="preserve">Client Profitability Modeling</w:t>
      </w:r>
      <w:r>
        <w:t xml:space="preserve">: Develop advanced client lifetime value (CLV) models specific to Amsterdam's market dynamics. Current analysis shows 32% of current clients are underpriced relative to their actual profitability potential in the Netherlands context.</w:t>
      </w:r>
    </w:p>
    <w:p>
      <w:pPr>
        <w:numPr>
          <w:ilvl w:val="0"/>
          <w:numId w:val="1003"/>
        </w:numPr>
        <w:pStyle w:val="Compact"/>
      </w:pPr>
      <w:r>
        <w:rPr>
          <w:bCs/>
          <w:b/>
        </w:rPr>
        <w:t xml:space="preserve">Cultural Competency Training</w:t>
      </w:r>
      <w:r>
        <w:t xml:space="preserve">: Partner with Amsterdam-based business schools for sales teams to understand local decision-making protocols. Financial Analysts will provide data on cultural nuances affecting sales cycles – a factor directly correlated with 28% higher deal closure rates in culturally aligned interactions.</w:t>
      </w:r>
    </w:p>
    <w:bookmarkEnd w:id="24"/>
    <w:bookmarkStart w:id="25" w:name="Xb73bb81ff4134ff8774486e11f12140af4b167c"/>
    <w:p>
      <w:pPr>
        <w:pStyle w:val="Heading2"/>
      </w:pPr>
      <w:r>
        <w:t xml:space="preserve">Future Outlook: The Strategic Imperative of Financial Analysts in Amsterdam</w:t>
      </w:r>
    </w:p>
    <w:p>
      <w:pPr>
        <w:pStyle w:val="FirstParagraph"/>
      </w:pPr>
      <w:r>
        <w:t xml:space="preserve">The Netherlands Amsterdam market is evolving rapidly. With the Dutch government's new Digital Tax Strategy and increased focus on ESG compliance, our Sales Report confirms that analytical capabilities will become the primary differentiator. Financial Analysts must evolve beyond reporting to becoming strategic growth partners:</w:t>
      </w:r>
    </w:p>
    <w:p>
      <w:pPr>
        <w:numPr>
          <w:ilvl w:val="0"/>
          <w:numId w:val="1004"/>
        </w:numPr>
        <w:pStyle w:val="Compact"/>
      </w:pPr>
      <w:r>
        <w:t xml:space="preserve">By Q1 2024, we project a 35% increase in demand for predictive sales analytics capabilities among Amsterdam-based clients</w:t>
      </w:r>
    </w:p>
    <w:p>
      <w:pPr>
        <w:numPr>
          <w:ilvl w:val="0"/>
          <w:numId w:val="1004"/>
        </w:numPr>
        <w:pStyle w:val="Compact"/>
      </w:pPr>
      <w:r>
        <w:t xml:space="preserve">Our Financial Analyst team is positioned to capture 18-22% market share growth through data-driven sales interventions</w:t>
      </w:r>
    </w:p>
    <w:p>
      <w:pPr>
        <w:numPr>
          <w:ilvl w:val="0"/>
          <w:numId w:val="1004"/>
        </w:numPr>
        <w:pStyle w:val="Compact"/>
      </w:pPr>
      <w:r>
        <w:t xml:space="preserve">Integrating AI-powered forecasting tools (currently piloted in Amsterdam) could unlock an additional €4.3M in annual revenue potential</w:t>
      </w:r>
    </w:p>
    <w:bookmarkEnd w:id="25"/>
    <w:bookmarkStart w:id="26" w:name="X0a41c5765d7066db5ae6a0f57b94e96d276bf14"/>
    <w:p>
      <w:pPr>
        <w:pStyle w:val="Heading2"/>
      </w:pPr>
      <w:r>
        <w:t xml:space="preserve">Conclusion: Financial Analysts as Sales Catalysts in Netherlands Amsterdam</w:t>
      </w:r>
    </w:p>
    <w:p>
      <w:pPr>
        <w:pStyle w:val="FirstParagraph"/>
      </w:pPr>
      <w:r>
        <w:t xml:space="preserve">This Sales Report unequivocally demonstrates that our Financial Analyst team has transformed from a support function to a core growth engine within the Netherlands Amsterdam market. Their localized insights on tax regulations, competitive landscapes, and client profitability directly translate into measurable sales outcomes – evidenced by 27.4% revenue growth in Q3 alone. As we navigate Amsterdam's increasingly sophisticated financial ecosystem, the strategic integration of Financial Analyst capabilities with our sales execution will remain non-negotiable for sustained market leadership.</w:t>
      </w:r>
    </w:p>
    <w:p>
      <w:pPr>
        <w:pStyle w:val="BodyText"/>
      </w:pPr>
      <w:r>
        <w:t xml:space="preserve">For the Netherlands Amsterdam operations, investing in analytical talent isn't merely an operational decision – it's a fundamental business strategy. Our Financial Analysts have proven that data-driven decision-making creates tangible competitive advantages in one of Europe's most demanding markets. We recommend maintaining 20% annual growth in our Financial Analyst team size within Amsterdam to support this strategic imperative.</w:t>
      </w:r>
    </w:p>
    <w:p>
      <w:pPr>
        <w:pStyle w:val="BodyText"/>
      </w:pPr>
      <w:r>
        <w:rPr>
          <w:bCs/>
          <w:b/>
        </w:rPr>
        <w:t xml:space="preserve">Prepared for: Executive Leadership, Netherlands Amsterdam Operations</w:t>
      </w:r>
    </w:p>
    <w:p>
      <w:pPr>
        <w:pStyle w:val="BodyText"/>
      </w:pPr>
      <w:r>
        <w:rPr>
          <w:iCs/>
          <w:i/>
        </w:rPr>
        <w:t xml:space="preserve">Report Date: October 26, 2023 • Prepared by: Global Sales Analytics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Performance Report: Financial Analyst Insights - Netherlands Amsterdam</dc:title>
  <dc:creator/>
  <dc:language>en</dc:language>
  <cp:keywords/>
  <dcterms:created xsi:type="dcterms:W3CDTF">2025-12-13T03:08:58Z</dcterms:created>
  <dcterms:modified xsi:type="dcterms:W3CDTF">2025-12-13T03:08:58Z</dcterms:modified>
</cp:coreProperties>
</file>

<file path=docProps/custom.xml><?xml version="1.0" encoding="utf-8"?>
<Properties xmlns="http://schemas.openxmlformats.org/officeDocument/2006/custom-properties" xmlns:vt="http://schemas.openxmlformats.org/officeDocument/2006/docPropsVTypes"/>
</file>