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Perspective</w:t>
      </w:r>
      <w:r>
        <w:t xml:space="preserve"> </w:t>
      </w:r>
      <w:r>
        <w:t xml:space="preserve">for</w:t>
      </w:r>
      <w:r>
        <w:t xml:space="preserve"> </w:t>
      </w:r>
      <w:r>
        <w:t xml:space="preserve">New</w:t>
      </w:r>
      <w:r>
        <w:t xml:space="preserve"> </w:t>
      </w:r>
      <w:r>
        <w:t xml:space="preserve">Zealand</w:t>
      </w:r>
      <w:r>
        <w:t xml:space="preserve"> </w:t>
      </w:r>
      <w:r>
        <w:t xml:space="preserve">Auckland</w:t>
      </w:r>
    </w:p>
    <w:bookmarkStart w:id="26" w:name="Xac1883860db009434edb48b7b7c8b6d92c24e8f"/>
    <w:p>
      <w:pPr>
        <w:pStyle w:val="Heading1"/>
      </w:pPr>
      <w:r>
        <w:t xml:space="preserve">Quarterly Sales Performance Report: Financial Analysis for New Zealand Auckland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Auckland Operations</w:t>
      </w:r>
      <w:r>
        <w:br/>
      </w:r>
      <w:r>
        <w:rPr>
          <w:bCs/>
          <w:b/>
        </w:rPr>
        <w:t xml:space="preserve">Purpose:</w:t>
      </w:r>
      <w:r>
        <w:t xml:space="preserve"> </w:t>
      </w:r>
      <w:r>
        <w:t xml:space="preserve">Comprehensive Sales Report and Financial Analysis for the New Zealand Auckland market segment</w:t>
      </w:r>
    </w:p>
    <w:bookmarkStart w:id="20" w:name="i.-executive-summary"/>
    <w:p>
      <w:pPr>
        <w:pStyle w:val="Heading2"/>
      </w:pPr>
      <w:r>
        <w:t xml:space="preserve">I. Executive Summary</w:t>
      </w:r>
    </w:p>
    <w:p>
      <w:pPr>
        <w:pStyle w:val="FirstParagraph"/>
      </w:pPr>
      <w:r>
        <w:t xml:space="preserve">This Sales Report presents a detailed analysis of Q3 2023 sales performance across our key business units in New Zealand Auckland. The findings were meticulously prepared by our dedicated Financial Analyst team, providing critical insights into revenue streams, market dynamics, and strategic opportunities unique to the Auckland business ecosystem. As the economic hub of New Zealand Auckland, this report underscores both significant growth trajectories and emerging challenges that require immediate attention from our leadership team.</w:t>
      </w:r>
    </w:p>
    <w:bookmarkEnd w:id="20"/>
    <w:bookmarkStart w:id="21" w:name="X0bab55822be9bb358f62c6e58ce64d27c51b5b5"/>
    <w:p>
      <w:pPr>
        <w:pStyle w:val="Heading2"/>
      </w:pPr>
      <w:r>
        <w:t xml:space="preserve">II. Key Sales Metrics: New Zealand Auckland Market</w:t>
      </w:r>
    </w:p>
    <w:p>
      <w:pPr>
        <w:pStyle w:val="FirstParagraph"/>
      </w:pPr>
      <w:r>
        <w:t xml:space="preserve">Indicator</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(NZD)</w:t>
      </w:r>
    </w:p>
    <w:p>
      <w:pPr>
        <w:pStyle w:val="BodyText"/>
      </w:pPr>
      <w:r>
        <w:t xml:space="preserve">$14.8M</w:t>
      </w:r>
    </w:p>
    <w:p>
      <w:pPr>
        <w:pStyle w:val="BodyText"/>
      </w:pPr>
      <w:r>
        <w:t xml:space="preserve">$13.2M</w:t>
      </w:r>
    </w:p>
    <w:p>
      <w:pPr>
        <w:pStyle w:val="BodyText"/>
      </w:pPr>
      <w:r>
        <w:t xml:space="preserve">+12.1%</w:t>
      </w:r>
    </w:p>
    <w:p>
      <w:pPr>
        <w:pStyle w:val="BodyText"/>
      </w:pPr>
      <w:r>
        <w:t xml:space="preserve">Customer Acquisition Cost (CAC)</w:t>
      </w:r>
    </w:p>
    <w:p>
      <w:pPr>
        <w:pStyle w:val="BodyText"/>
      </w:pPr>
      <w:r>
        <w:t xml:space="preserve">$485</w:t>
      </w:r>
    </w:p>
    <w:p>
      <w:pPr>
        <w:pStyle w:val="BodyText"/>
      </w:pPr>
      <w:r>
        <w:t xml:space="preserve">$520</w:t>
      </w:r>
    </w:p>
    <w:p>
      <w:pPr>
        <w:pStyle w:val="BodyText"/>
      </w:pPr>
      <w:r>
        <w:t xml:space="preserve">-6.7% ↓</w:t>
      </w:r>
    </w:p>
    <w:p>
      <w:pPr>
        <w:pStyle w:val="BodyText"/>
      </w:pPr>
      <w:r>
        <w:t xml:space="preserve">Auckland-Specific Performance Drivers</w:t>
      </w:r>
    </w:p>
    <w:p>
      <w:pPr>
        <w:pStyle w:val="BodyText"/>
      </w:pPr>
      <w:r>
        <w:t xml:space="preserve">Product Line</w:t>
      </w:r>
    </w:p>
    <w:p>
      <w:pPr>
        <w:pStyle w:val="BodyText"/>
      </w:pPr>
      <w:r>
        <w:t xml:space="preserve">Revenue Share (Auckland)</w:t>
      </w:r>
    </w:p>
    <w:p>
      <w:pPr>
        <w:pStyle w:val="BodyText"/>
      </w:pPr>
      <w:r>
        <w:t xml:space="preserve">Growth vs Q2</w:t>
      </w:r>
    </w:p>
    <w:p>
      <w:pPr>
        <w:pStyle w:val="BodyText"/>
      </w:pPr>
      <w:r>
        <w:t xml:space="preserve">Enterprise Solutions</w:t>
      </w:r>
    </w:p>
    <w:p>
      <w:pPr>
        <w:pStyle w:val="BodyText"/>
      </w:pPr>
      <w:r>
        <w:t xml:space="preserve">68%</w:t>
      </w:r>
    </w:p>
    <w:p>
      <w:pPr>
        <w:pStyle w:val="BodyText"/>
      </w:pPr>
      <w:r>
        <w:t xml:space="preserve">+15.3%</w:t>
      </w:r>
    </w:p>
    <w:p>
      <w:pPr>
        <w:pStyle w:val="BodyText"/>
      </w:pPr>
      <w:r>
        <w:t xml:space="preserve">SMB Services</w:t>
      </w:r>
    </w:p>
    <w:p>
      <w:pPr>
        <w:pStyle w:val="BodyText"/>
      </w:pPr>
      <w:r>
        <w:t xml:space="preserve">&lt;</w:t>
      </w:r>
    </w:p>
    <w:p>
      <w:pPr>
        <w:pStyle w:val="BodyText"/>
      </w:pPr>
      <w:r>
        <w:t xml:space="preserve">24%</w:t>
      </w:r>
    </w:p>
    <w:p>
      <w:pPr>
        <w:pStyle w:val="BodyText"/>
      </w:pPr>
      <w:r>
        <w:t xml:space="preserve">+8.7%</w:t>
      </w:r>
    </w:p>
    <w:p>
      <w:pPr>
        <w:pStyle w:val="BodyText"/>
      </w:pPr>
      <w:r>
        <w:t xml:space="preserve">Market Share in Auckland (Q3 2023)</w:t>
      </w:r>
    </w:p>
    <w:p>
      <w:pPr>
        <w:pStyle w:val="BodyText"/>
      </w:pPr>
      <w:r>
        <w:t xml:space="preserve">Auckland Total Market Size</w:t>
      </w:r>
    </w:p>
    <w:p>
      <w:pPr>
        <w:pStyle w:val="BodyText"/>
      </w:pPr>
      <w:r>
        <w:t xml:space="preserve">$98.5M</w:t>
      </w:r>
    </w:p>
    <w:p>
      <w:pPr>
        <w:pStyle w:val="BodyText"/>
      </w:pPr>
      <w:r>
        <w:t xml:space="preserve">Our Market Share: 15.0% (↑ 1.8% YoY)</w:t>
      </w:r>
    </w:p>
    <w:bookmarkEnd w:id="21"/>
    <w:bookmarkStart w:id="22" w:name="Xc7a9f5dac8b8b672eab827f32c7b3ee49d664c9"/>
    <w:p>
      <w:pPr>
        <w:pStyle w:val="Heading2"/>
      </w:pPr>
      <w:r>
        <w:t xml:space="preserve">III. In-Depth Financial Analysis by Our Auckland-based Financial Analyst Team</w:t>
      </w:r>
    </w:p>
    <w:p>
      <w:pPr>
        <w:pStyle w:val="FirstParagraph"/>
      </w:pPr>
      <w:r>
        <w:t xml:space="preserve">The Sales Report reveals a compelling story of strategic growth in New Zealand Auckland, but requires nuanced interpretation from our Financial Analyst team to identify sustainable opportunities. Unlike generic regional reports, our analysis incorporates unique Auckland factors: the city's status as New Zealand's economic engine (contributing 36% of national GDP), high competition in the financial services sector, and distinct consumer behavior patterns in urban versus suburban zones.</w:t>
      </w:r>
    </w:p>
    <w:p>
      <w:pPr>
        <w:pStyle w:val="BodyText"/>
      </w:pPr>
      <w:r>
        <w:t xml:space="preserve">Our Financial Analyst identified three critical success drivers for Auckland operations:</w:t>
      </w:r>
    </w:p>
    <w:p>
      <w:pPr>
        <w:numPr>
          <w:ilvl w:val="0"/>
          <w:numId w:val="1001"/>
        </w:numPr>
        <w:pStyle w:val="Compact"/>
      </w:pPr>
      <w:r>
        <w:rPr>
          <w:bCs/>
          <w:b/>
        </w:rPr>
        <w:t xml:space="preserve">Enterprise Segment Dominance</w:t>
      </w:r>
      <w:r>
        <w:t xml:space="preserve">: The 15.3% growth in enterprise sales directly correlates with new partnerships secured by our Auckland sales team, particularly with ASX-listed companies establishing regional HQs in the city. This segment now accounts for 68% of total revenue – a key indicator of market positioning.</w:t>
      </w:r>
    </w:p>
    <w:p>
      <w:pPr>
        <w:numPr>
          <w:ilvl w:val="0"/>
          <w:numId w:val="1001"/>
        </w:numPr>
        <w:pStyle w:val="Compact"/>
      </w:pPr>
      <w:r>
        <w:rPr>
          <w:bCs/>
          <w:b/>
        </w:rPr>
        <w:t xml:space="preserve">Customer Retention Advantage</w:t>
      </w:r>
      <w:r>
        <w:t xml:space="preserve">: With 89% renewal rate in Auckland (vs industry average 75%), our Financial Analyst highlighted this as a major competitive differentiator. The retention rate directly impacts lifetime customer value by 32% compared to New Zealand benchmarks.</w:t>
      </w:r>
    </w:p>
    <w:p>
      <w:pPr>
        <w:numPr>
          <w:ilvl w:val="0"/>
          <w:numId w:val="1001"/>
        </w:numPr>
        <w:pStyle w:val="Compact"/>
      </w:pPr>
      <w:r>
        <w:rPr>
          <w:bCs/>
          <w:b/>
        </w:rPr>
        <w:t xml:space="preserve">Geospatial Revenue Distribution</w:t>
      </w:r>
      <w:r>
        <w:t xml:space="preserve">: Analysis shows concentrated revenue growth in Auckland Central (24% of total) and North Shore (18%), while East Coast Bays underperformed. This spatial insight is crucial for our Financial Analyst to optimize resource allocation in New Zealand Auckland's complex urban landscape.</w:t>
      </w:r>
    </w:p>
    <w:bookmarkEnd w:id="22"/>
    <w:bookmarkStart w:id="23" w:name="X3be404f04c8d8ddac63952a3d02f94a8a6e846a"/>
    <w:p>
      <w:pPr>
        <w:pStyle w:val="Heading2"/>
      </w:pPr>
      <w:r>
        <w:t xml:space="preserve">IV. Market Context: New Zealand Auckland Economic Environment</w:t>
      </w:r>
    </w:p>
    <w:p>
      <w:pPr>
        <w:pStyle w:val="FirstParagraph"/>
      </w:pPr>
      <w:r>
        <w:t xml:space="preserve">The Sales Report must be interpreted within the unique economic fabric of New Zealand Auckland. Our Financial Analyst team monitored three pivotal local indicators:</w:t>
      </w:r>
    </w:p>
    <w:p>
      <w:pPr>
        <w:numPr>
          <w:ilvl w:val="0"/>
          <w:numId w:val="1002"/>
        </w:numPr>
        <w:pStyle w:val="Compact"/>
      </w:pPr>
      <w:r>
        <w:rPr>
          <w:bCs/>
          <w:b/>
        </w:rPr>
        <w:t xml:space="preserve">Retail Spending Surge</w:t>
      </w:r>
      <w:r>
        <w:t xml:space="preserve">: Auckland's retail sales grew 9.2% YoY (Stats NZ, Q3 2023), directly boosting our SMB services adoption.</w:t>
      </w:r>
    </w:p>
    <w:p>
      <w:pPr>
        <w:numPr>
          <w:ilvl w:val="0"/>
          <w:numId w:val="1002"/>
        </w:numPr>
        <w:pStyle w:val="Compact"/>
      </w:pPr>
      <w:r>
        <w:rPr>
          <w:bCs/>
          <w:b/>
        </w:rPr>
        <w:t xml:space="preserve">Commercial Real Estate Trends</w:t>
      </w:r>
      <w:r>
        <w:t xml:space="preserve">: Rising office space costs in downtown Auckland (up 14.7% YoY) accelerated enterprise clients' digital transformation spending – a trend our Financial Analyst successfully predicted through macroeconomic modeling.</w:t>
      </w:r>
    </w:p>
    <w:p>
      <w:pPr>
        <w:numPr>
          <w:ilvl w:val="0"/>
          <w:numId w:val="1002"/>
        </w:numPr>
        <w:pStyle w:val="Compact"/>
      </w:pPr>
      <w:r>
        <w:rPr>
          <w:bCs/>
          <w:b/>
        </w:rPr>
        <w:t xml:space="preserve">Competition Intensification</w:t>
      </w:r>
      <w:r>
        <w:t xml:space="preserve">: Three new fintech entrants entered the Auckland market this quarter, but our Financial Analyst's pricing strategy analysis prevented margin erosion despite competitive pressure.</w:t>
      </w:r>
    </w:p>
    <w:bookmarkEnd w:id="23"/>
    <w:bookmarkStart w:id="24" w:name="X7047b41ea6949002e85be71e087f2c62e6ac930"/>
    <w:p>
      <w:pPr>
        <w:pStyle w:val="Heading2"/>
      </w:pPr>
      <w:r>
        <w:t xml:space="preserve">V. Strategic Recommendations from Our Financial Analyst Team</w:t>
      </w:r>
    </w:p>
    <w:p>
      <w:pPr>
        <w:pStyle w:val="FirstParagraph"/>
      </w:pPr>
      <w:r>
        <w:t xml:space="preserve">Based on this comprehensive Sales Report, our Auckland-based Financial Analyst proposes three priority actions for New Zealand Auckland operations:</w:t>
      </w:r>
    </w:p>
    <w:p>
      <w:pPr>
        <w:numPr>
          <w:ilvl w:val="0"/>
          <w:numId w:val="1003"/>
        </w:numPr>
        <w:pStyle w:val="Compact"/>
      </w:pPr>
      <w:r>
        <w:rPr>
          <w:bCs/>
          <w:b/>
        </w:rPr>
        <w:t xml:space="preserve">Targeted Enterprise Expansion</w:t>
      </w:r>
      <w:r>
        <w:t xml:space="preserve">: Allocate 15% of Q4 sales budget to developing tailored solutions for manufacturing firms in the Port of Auckland zone, where revenue potential is 22% above city average. The Financial Analyst's market model projects this could generate $3.1M additional revenue by Q2 2024.</w:t>
      </w:r>
    </w:p>
    <w:p>
      <w:pPr>
        <w:numPr>
          <w:ilvl w:val="0"/>
          <w:numId w:val="1003"/>
        </w:numPr>
        <w:pStyle w:val="Compact"/>
      </w:pPr>
      <w:r>
        <w:rPr>
          <w:bCs/>
          <w:b/>
        </w:rPr>
        <w:t xml:space="preserve">Suburban Market Development</w:t>
      </w:r>
      <w:r>
        <w:t xml:space="preserve">: Address East Coast Bays underperformance through a new sales channel partnership with local business associations – a recommendation validated by the Financial Analyst's geospatial spend analysis showing $1.8M untapped potential in this suburb.</w:t>
      </w:r>
    </w:p>
    <w:p>
      <w:pPr>
        <w:numPr>
          <w:ilvl w:val="0"/>
          <w:numId w:val="1003"/>
        </w:numPr>
        <w:pStyle w:val="Compact"/>
      </w:pPr>
      <w:r>
        <w:rPr>
          <w:bCs/>
          <w:b/>
        </w:rPr>
        <w:t xml:space="preserve">Dynamic Pricing Framework</w:t>
      </w:r>
      <w:r>
        <w:t xml:space="preserve">: Implement AI-driven pricing adjustments for SMB services based on real-time Auckland economic indicators. Our Financial Analyst model predicts this could improve gross margins by 7.3% while maintaining competitiveness in the New Zealand Auckland market.</w:t>
      </w:r>
    </w:p>
    <w:bookmarkEnd w:id="24"/>
    <w:bookmarkStart w:id="25" w:name="X84943e48170a0ead0dcd35207bca9b0614e93a9"/>
    <w:p>
      <w:pPr>
        <w:pStyle w:val="Heading2"/>
      </w:pPr>
      <w:r>
        <w:t xml:space="preserve">VI. Conclusion: The Critical Role of Financial Analyst in New Zealand Auckland</w:t>
      </w:r>
    </w:p>
    <w:p>
      <w:pPr>
        <w:pStyle w:val="FirstParagraph"/>
      </w:pPr>
      <w:r>
        <w:t xml:space="preserve">This Sales Report demonstrates that sustainable growth in New Zealand Auckland requires more than surface-level sales data – it demands deep financial insight from a skilled Financial Analyst. Our analysis reveals that while revenue has grown 12.1% quarter-over-quarter, the true competitive advantage lies in our Financial Analyst's ability to transform raw sales data into strategic intelligence. As the economic heartbeat of New Zealand, Auckland requires this level of nuanced understanding to navigate its complex business environment.</w:t>
      </w:r>
    </w:p>
    <w:p>
      <w:pPr>
        <w:pStyle w:val="BodyText"/>
      </w:pPr>
      <w:r>
        <w:t xml:space="preserve">Without continuous Financial Analyst input – analyzing everything from Auckland-specific tax incentives to consumer sentiment shifts – we risk misinterpreting market signals. The current Sales Report proves that data-driven decisions outperform intuition by 47% in our Auckland operations (per our internal benchmark study). As we enter the critical Q4 sales cycle, the role of Financial Analyst will be pivotal in maintaining our 15.0% market share leadership across New Zealand Auckland.</w:t>
      </w:r>
    </w:p>
    <w:p>
      <w:pPr>
        <w:pStyle w:val="BodyText"/>
      </w:pPr>
      <w:r>
        <w:t xml:space="preserve">Recommendation: Double-down on Financial Analyst resources dedicated to New Zealand Auckland – this is not merely a cost center but the strategic engine driving our local revenue growth. Our Sales Report clearly shows that every dollar invested in specialized financial analysis generates $5.20 in attributable sales uplift within the Auckland market.</w:t>
      </w:r>
    </w:p>
    <w:p>
      <w:pPr>
        <w:pStyle w:val="BodyText"/>
      </w:pPr>
      <w:r>
        <w:rPr>
          <w:bCs/>
          <w:b/>
        </w:rPr>
        <w:t xml:space="preserve">Prepared By:</w:t>
      </w:r>
      <w:r>
        <w:t xml:space="preserve"> </w:t>
      </w:r>
      <w:r>
        <w:t xml:space="preserve">Financial Analysis &amp; Strategy Division</w:t>
      </w:r>
      <w:r>
        <w:br/>
      </w:r>
      <w:r>
        <w:rPr>
          <w:bCs/>
          <w:b/>
        </w:rPr>
        <w:t xml:space="preserve">Contact:</w:t>
      </w:r>
      <w:r>
        <w:t xml:space="preserve"> </w:t>
      </w:r>
      <w:r>
        <w:t xml:space="preserve">auckland.financial@company.nz | (64) 9 887 1234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Financial Analyst Perspective for New Zealand Auckland</dc:title>
  <dc:creator/>
  <dc:language>en</dc:language>
  <cp:keywords/>
  <dcterms:created xsi:type="dcterms:W3CDTF">2026-06-04T23:18:06Z</dcterms:created>
  <dcterms:modified xsi:type="dcterms:W3CDTF">2026-06-04T23:18:06Z</dcterms:modified>
</cp:coreProperties>
</file>

<file path=docProps/custom.xml><?xml version="1.0" encoding="utf-8"?>
<Properties xmlns="http://schemas.openxmlformats.org/officeDocument/2006/custom-properties" xmlns:vt="http://schemas.openxmlformats.org/officeDocument/2006/docPropsVTypes"/>
</file>