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Abuja</w:t>
      </w:r>
      <w:r>
        <w:t xml:space="preserve"> </w:t>
      </w:r>
      <w:r>
        <w:t xml:space="preserve">Financial</w:t>
      </w:r>
      <w:r>
        <w:t xml:space="preserve"> </w:t>
      </w:r>
      <w:r>
        <w:t xml:space="preserve">Analyst</w:t>
      </w:r>
      <w:r>
        <w:t xml:space="preserve"> </w:t>
      </w:r>
      <w:r>
        <w:t xml:space="preserve">Department</w:t>
      </w:r>
    </w:p>
    <w:bookmarkStart w:id="27" w:name="Xd2a302e7b54cd95b567a6809e966368936ec525"/>
    <w:p>
      <w:pPr>
        <w:pStyle w:val="Heading1"/>
      </w:pPr>
      <w:r>
        <w:t xml:space="preserve">Q3 2023 Quarterly Sales Performance Report: Financial Analyst Insights for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Abuja Regional Office</w:t>
      </w:r>
      <w:r>
        <w:br/>
      </w:r>
      <w:r>
        <w:rPr>
          <w:bCs/>
          <w:b/>
        </w:rPr>
        <w:t xml:space="preserve">Prepared By:</w:t>
      </w:r>
      <w:r>
        <w:t xml:space="preserve"> </w:t>
      </w:r>
      <w:r>
        <w:t xml:space="preserve">Financial Analysis Department, Nigeria Abuja</w:t>
      </w:r>
    </w:p>
    <w:bookmarkStart w:id="20" w:name="i.-executive-summary"/>
    <w:p>
      <w:pPr>
        <w:pStyle w:val="Heading2"/>
      </w:pPr>
      <w:r>
        <w:t xml:space="preserve">I. Executive Summary</w:t>
      </w:r>
    </w:p>
    <w:p>
      <w:pPr>
        <w:pStyle w:val="FirstParagraph"/>
      </w:pPr>
      <w:r>
        <w:t xml:space="preserve">This Sales Report presents comprehensive analysis of Q3 2023 sales performance for our organization's operations across Nigeria Abuja. As a leading financial services provider in the Nigerian capital, our Abuja office achieved a remarkable 18.7% quarter-over-quarter growth in revenue, exceeding targets by 4.2%. Central to this success was the strategic oversight of our Financial Analyst team, whose data-driven insights directly influenced sales strategy adjustments in Nigeria's complex economic landscape. This document details key metrics, market dynamics affecting Abuja's commercial ecosystem, and forward-looking recommendations from our Financial Analyst department.</w:t>
      </w:r>
    </w:p>
    <w:bookmarkEnd w:id="20"/>
    <w:bookmarkStart w:id="21" w:name="X7ef6188c6d8078078b16d211ac543eca4f2a49e"/>
    <w:p>
      <w:pPr>
        <w:pStyle w:val="Heading2"/>
      </w:pPr>
      <w:r>
        <w:t xml:space="preserve">II. Role of the Financial Analyst in Abuja Sales Performance</w:t>
      </w:r>
    </w:p>
    <w:p>
      <w:pPr>
        <w:pStyle w:val="FirstParagraph"/>
      </w:pPr>
      <w:r>
        <w:t xml:space="preserve">In Nigeria Abuja, the role of the Financial Analyst extends beyond number-crunching to become a strategic business partner driving sales outcomes. Our team operates at the intersection of financial data and market intelligence, performing critical functions including:</w:t>
      </w:r>
    </w:p>
    <w:p>
      <w:pPr>
        <w:numPr>
          <w:ilvl w:val="0"/>
          <w:numId w:val="1001"/>
        </w:numPr>
        <w:pStyle w:val="Compact"/>
      </w:pPr>
      <w:r>
        <w:rPr>
          <w:bCs/>
          <w:b/>
        </w:rPr>
        <w:t xml:space="preserve">Real-Time Sales Forecasting:</w:t>
      </w:r>
      <w:r>
        <w:t xml:space="preserve"> </w:t>
      </w:r>
      <w:r>
        <w:t xml:space="preserve">Developing dynamic models incorporating Abuja's unique economic indicators (GDP growth, inflation rates, oil price volatility) to predict quarterly sales potential.</w:t>
      </w:r>
    </w:p>
    <w:p>
      <w:pPr>
        <w:numPr>
          <w:ilvl w:val="0"/>
          <w:numId w:val="1001"/>
        </w:numPr>
        <w:pStyle w:val="Compact"/>
      </w:pPr>
      <w:r>
        <w:rPr>
          <w:bCs/>
          <w:b/>
        </w:rPr>
        <w:t xml:space="preserve">Client Profitability Analysis:</w:t>
      </w:r>
      <w:r>
        <w:t xml:space="preserve"> </w:t>
      </w:r>
      <w:r>
        <w:t xml:space="preserve">Identifying high-value corporate clients within Abuja's government contracting sector and financial district, optimizing resource allocation.</w:t>
      </w:r>
    </w:p>
    <w:p>
      <w:pPr>
        <w:numPr>
          <w:ilvl w:val="0"/>
          <w:numId w:val="1001"/>
        </w:numPr>
        <w:pStyle w:val="Compact"/>
      </w:pPr>
      <w:r>
        <w:rPr>
          <w:bCs/>
          <w:b/>
        </w:rPr>
        <w:t xml:space="preserve">Risk-Adjusted Sales Targeting:</w:t>
      </w:r>
      <w:r>
        <w:t xml:space="preserve"> </w:t>
      </w:r>
      <w:r>
        <w:t xml:space="preserve">Assessing creditworthiness of prospective clients in Nigeria's evolving regulatory environment to prevent revenue leakage.</w:t>
      </w:r>
    </w:p>
    <w:p>
      <w:pPr>
        <w:numPr>
          <w:ilvl w:val="0"/>
          <w:numId w:val="1001"/>
        </w:numPr>
        <w:pStyle w:val="Compact"/>
      </w:pPr>
      <w:r>
        <w:rPr>
          <w:bCs/>
          <w:b/>
        </w:rPr>
        <w:t xml:space="preserve">Market Sensitivity Reporting:</w:t>
      </w:r>
      <w:r>
        <w:t xml:space="preserve"> </w:t>
      </w:r>
      <w:r>
        <w:t xml:space="preserve">Monitoring how macroeconomic shifts (e.g., Naira exchange rate fluctuations) impact sales conversion rates in Abuja specifically.</w:t>
      </w:r>
    </w:p>
    <w:bookmarkEnd w:id="21"/>
    <w:bookmarkStart w:id="22" w:name="X38b1174a1a50df09ba18875f0c1715c6bfb3ec7"/>
    <w:p>
      <w:pPr>
        <w:pStyle w:val="Heading2"/>
      </w:pPr>
      <w:r>
        <w:t xml:space="preserve">III. Q3 2023 Sales Performance Metrics (Abuja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Variance</w:t>
            </w:r>
          </w:p>
        </w:tc>
        <w:tc>
          <w:tcPr/>
          <w:p>
            <w:pPr>
              <w:pStyle w:val="Compact"/>
              <w:jc w:val="left"/>
            </w:pPr>
            <w:r>
              <w:t xml:space="preserve">Target (Q3)</w:t>
            </w:r>
          </w:p>
        </w:tc>
      </w:tr>
      <w:tr>
        <w:tc>
          <w:tcPr/>
          <w:p>
            <w:pPr>
              <w:pStyle w:val="Compact"/>
              <w:jc w:val="left"/>
            </w:pPr>
            <w:r>
              <w:t xml:space="preserve">Total Revenue (₦ Millions)</w:t>
            </w:r>
          </w:p>
        </w:tc>
        <w:tc>
          <w:tcPr/>
          <w:p>
            <w:pPr>
              <w:pStyle w:val="Compact"/>
              <w:jc w:val="left"/>
            </w:pPr>
            <w:r>
              <w:t xml:space="preserve">₦147.8</w:t>
            </w:r>
          </w:p>
        </w:tc>
        <w:tc>
          <w:tcPr/>
          <w:p>
            <w:pPr>
              <w:pStyle w:val="Compact"/>
              <w:jc w:val="left"/>
            </w:pPr>
            <w:r>
              <w:t xml:space="preserve">₦124.5</w:t>
            </w:r>
          </w:p>
        </w:tc>
        <w:tc>
          <w:tcPr/>
          <w:p>
            <w:pPr>
              <w:pStyle w:val="Compact"/>
              <w:jc w:val="left"/>
            </w:pPr>
            <w:r>
              <w:t xml:space="preserve">+18.7%</w:t>
            </w:r>
          </w:p>
        </w:tc>
        <w:tc>
          <w:tcPr/>
          <w:p>
            <w:pPr>
              <w:pStyle w:val="Compact"/>
              <w:jc w:val="left"/>
            </w:pPr>
            <w:r>
              <w:t xml:space="preserve">₦143.5</w:t>
            </w:r>
          </w:p>
        </w:tc>
      </w:tr>
      <w:tr>
        <w:tc>
          <w:tcPr/>
          <w:p>
            <w:pPr>
              <w:pStyle w:val="Compact"/>
              <w:jc w:val="left"/>
            </w:pPr>
            <w:r>
              <w:t xml:space="preserve">New Client Acquisition (Abuja)</w:t>
            </w:r>
          </w:p>
        </w:tc>
        <w:tc>
          <w:tcPr/>
          <w:p>
            <w:pPr>
              <w:pStyle w:val="Compact"/>
              <w:jc w:val="left"/>
            </w:pPr>
            <w:r>
              <w:t xml:space="preserve">37</w:t>
            </w:r>
          </w:p>
        </w:tc>
        <w:tc>
          <w:tcPr/>
          <w:p>
            <w:pPr>
              <w:pStyle w:val="Compact"/>
              <w:jc w:val="left"/>
            </w:pPr>
            <w:r>
              <w:t xml:space="preserve">29</w:t>
            </w:r>
          </w:p>
        </w:tc>
        <w:tc>
          <w:tcPr/>
          <w:p>
            <w:pPr>
              <w:pStyle w:val="Compact"/>
              <w:jc w:val="left"/>
            </w:pPr>
            <w:r>
              <w:t xml:space="preserve">+27.6%</w:t>
            </w:r>
          </w:p>
        </w:tc>
        <w:tc>
          <w:tcPr/>
          <w:p>
            <w:pPr>
              <w:pStyle w:val="Compact"/>
              <w:jc w:val="left"/>
            </w:pPr>
            <w:r>
              <w:t xml:space="preserve">32</w:t>
            </w:r>
          </w:p>
        </w:tc>
      </w:tr>
      <w:tr>
        <w:tc>
          <w:tcPr/>
          <w:p>
            <w:pPr>
              <w:pStyle w:val="Compact"/>
              <w:jc w:val="left"/>
            </w:pPr>
            <w:r>
              <w:t xml:space="preserve">Key Insight:</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The 18.7% revenue growth directly correlates with our Financial Analyst team's recommendation to pivot sales focus toward Abuja's growing fintech sector (up 42% YoY) following the Central Bank of Nigeria's regulatory sandbox launch.</w:t>
            </w:r>
          </w:p>
        </w:tc>
        <w:tc>
          <w:tcPr/>
          <w:p>
            <w:pPr>
              <w:pStyle w:val="Compact"/>
            </w:pPr>
          </w:p>
        </w:tc>
        <w:tc>
          <w:tcPr/>
          <w:p>
            <w:pPr>
              <w:pStyle w:val="Compact"/>
            </w:pPr>
          </w:p>
        </w:tc>
        <w:tc>
          <w:tcPr/>
          <w:p>
            <w:pPr>
              <w:pStyle w:val="Compact"/>
            </w:pPr>
          </w:p>
        </w:tc>
        <w:tc>
          <w:tcPr/>
          <w:p>
            <w:pPr>
              <w:pStyle w:val="Compact"/>
            </w:pPr>
          </w:p>
        </w:tc>
      </w:tr>
    </w:tbl>
    <w:bookmarkEnd w:id="22"/>
    <w:bookmarkStart w:id="23" w:name="iv.-abuja-market-dynamics-analysis"/>
    <w:p>
      <w:pPr>
        <w:pStyle w:val="Heading2"/>
      </w:pPr>
      <w:r>
        <w:t xml:space="preserve">IV. Abuja Market Dynamics Analysis</w:t>
      </w:r>
    </w:p>
    <w:p>
      <w:pPr>
        <w:pStyle w:val="FirstParagraph"/>
      </w:pPr>
      <w:r>
        <w:t xml:space="preserve">Our Financial Analyst department conducted granular market segmentation specific to Nigeria Abuja, revealing critical trends:</w:t>
      </w:r>
    </w:p>
    <w:p>
      <w:pPr>
        <w:numPr>
          <w:ilvl w:val="0"/>
          <w:numId w:val="1002"/>
        </w:numPr>
        <w:pStyle w:val="Compact"/>
      </w:pPr>
      <w:r>
        <w:rPr>
          <w:bCs/>
          <w:b/>
        </w:rPr>
        <w:t xml:space="preserve">Government Procurement Surge:</w:t>
      </w:r>
      <w:r>
        <w:t xml:space="preserve"> </w:t>
      </w:r>
      <w:r>
        <w:t xml:space="preserve">31% of Q3 revenue came from contracts with Federal Ministry entities (up from 19% in Q2), driven by our Financial Analyst's early identification of budget allocation patterns ahead of the National Budget presentation.</w:t>
      </w:r>
    </w:p>
    <w:p>
      <w:pPr>
        <w:numPr>
          <w:ilvl w:val="0"/>
          <w:numId w:val="1002"/>
        </w:numPr>
        <w:pStyle w:val="Compact"/>
      </w:pPr>
      <w:r>
        <w:rPr>
          <w:bCs/>
          <w:b/>
        </w:rPr>
        <w:t xml:space="preserve">Oil Sector Resilience:</w:t>
      </w:r>
      <w:r>
        <w:t xml:space="preserve"> </w:t>
      </w:r>
      <w:r>
        <w:t xml:space="preserve">Despite global price volatility, Abuja-based oil services firms increased procurement by 15%, validated through our Financial Analyst team's proprietary correlation model linking crude prices to local equipment demand.</w:t>
      </w:r>
    </w:p>
    <w:p>
      <w:pPr>
        <w:numPr>
          <w:ilvl w:val="0"/>
          <w:numId w:val="1002"/>
        </w:numPr>
        <w:pStyle w:val="Compact"/>
      </w:pPr>
      <w:r>
        <w:rPr>
          <w:bCs/>
          <w:b/>
        </w:rPr>
        <w:t xml:space="preserve">Infrastructure Investment Boom:</w:t>
      </w:r>
      <w:r>
        <w:t xml:space="preserve"> </w:t>
      </w:r>
      <w:r>
        <w:t xml:space="preserve">Analysis of Abuja's Master Plan 2040 revealed construction firms as high-potential segments; Financial Analysts' predictive modeling captured a 23% sales uptick in this sector before competitors reacted.</w:t>
      </w:r>
    </w:p>
    <w:bookmarkEnd w:id="23"/>
    <w:bookmarkStart w:id="24" w:name="X2c635856ab3592f379574bbfd035589d6cae39a"/>
    <w:p>
      <w:pPr>
        <w:pStyle w:val="Heading2"/>
      </w:pPr>
      <w:r>
        <w:t xml:space="preserve">V. Challenges &amp; Strategic Response (Abuja Context)</w:t>
      </w:r>
    </w:p>
    <w:p>
      <w:pPr>
        <w:pStyle w:val="FirstParagraph"/>
      </w:pPr>
      <w:r>
        <w:t xml:space="preserve">Our Financial Analyst team identified two critical challenges unique to Nigeria Abuja operations:</w:t>
      </w:r>
    </w:p>
    <w:p>
      <w:pPr>
        <w:numPr>
          <w:ilvl w:val="0"/>
          <w:numId w:val="1003"/>
        </w:numPr>
        <w:pStyle w:val="Compact"/>
      </w:pPr>
      <w:r>
        <w:rPr>
          <w:bCs/>
          <w:b/>
        </w:rPr>
        <w:t xml:space="preserve">Currency Volatility Impact:</w:t>
      </w:r>
      <w:r>
        <w:t xml:space="preserve"> </w:t>
      </w:r>
      <w:r>
        <w:t xml:space="preserve">Naira depreciation caused 12% higher product pricing in USD terms. The Financial Analyst department implemented dynamic pricing models that reduced customer attrition by 7% through strategic tiered discounting.</w:t>
      </w:r>
    </w:p>
    <w:p>
      <w:pPr>
        <w:numPr>
          <w:ilvl w:val="0"/>
          <w:numId w:val="1003"/>
        </w:numPr>
        <w:pStyle w:val="Compact"/>
      </w:pPr>
      <w:r>
        <w:rPr>
          <w:bCs/>
          <w:b/>
        </w:rPr>
        <w:t xml:space="preserve">Regulatory Compliance Burden:</w:t>
      </w:r>
      <w:r>
        <w:t xml:space="preserve"> </w:t>
      </w:r>
      <w:r>
        <w:t xml:space="preserve">New CBN guidelines required sales team retraining. Our Financial Analyst developed a real-time compliance dashboard, reducing onboarding time by 35% and preventing $280K in potential fines.</w:t>
      </w:r>
    </w:p>
    <w:bookmarkEnd w:id="24"/>
    <w:bookmarkStart w:id="25" w:name="X922fad3c496a760d0d0c449a05f3804244da2e7"/>
    <w:p>
      <w:pPr>
        <w:pStyle w:val="Heading2"/>
      </w:pPr>
      <w:r>
        <w:t xml:space="preserve">VI. Data-Driven Recommendations from Abuja Financial Analysts</w:t>
      </w:r>
    </w:p>
    <w:p>
      <w:pPr>
        <w:pStyle w:val="FirstParagraph"/>
      </w:pPr>
      <w:r>
        <w:t xml:space="preserve">Based on comprehensive analysis of Nigeria Abuja's commercial ecosystem, our Financial Analyst department recommends:</w:t>
      </w:r>
    </w:p>
    <w:p>
      <w:pPr>
        <w:numPr>
          <w:ilvl w:val="0"/>
          <w:numId w:val="1004"/>
        </w:numPr>
        <w:pStyle w:val="Compact"/>
      </w:pPr>
      <w:r>
        <w:rPr>
          <w:bCs/>
          <w:b/>
        </w:rPr>
        <w:t xml:space="preserve">Hyperlocal Sales Territory Mapping:</w:t>
      </w:r>
      <w:r>
        <w:t xml:space="preserve"> </w:t>
      </w:r>
      <w:r>
        <w:t xml:space="preserve">Allocate 60% of new sales resources to the Gwagwalada and Jabi corridors where our Financial Analyst data shows 37% higher conversion rates among SMEs.</w:t>
      </w:r>
    </w:p>
    <w:p>
      <w:pPr>
        <w:numPr>
          <w:ilvl w:val="0"/>
          <w:numId w:val="1004"/>
        </w:numPr>
        <w:pStyle w:val="Compact"/>
      </w:pPr>
      <w:r>
        <w:rPr>
          <w:bCs/>
          <w:b/>
        </w:rPr>
        <w:t xml:space="preserve">Currency Risk Hedging Protocol:</w:t>
      </w:r>
      <w:r>
        <w:t xml:space="preserve"> </w:t>
      </w:r>
      <w:r>
        <w:t xml:space="preserve">Implement forward contracts for all client engagements above ₦5M starting Q4, projected to increase net revenue by 9.3% through price stabilization.</w:t>
      </w:r>
    </w:p>
    <w:p>
      <w:pPr>
        <w:numPr>
          <w:ilvl w:val="0"/>
          <w:numId w:val="1004"/>
        </w:numPr>
        <w:pStyle w:val="Compact"/>
      </w:pPr>
      <w:r>
        <w:rPr>
          <w:bCs/>
          <w:b/>
        </w:rPr>
        <w:t xml:space="preserve">Sales Talent Development:</w:t>
      </w:r>
      <w:r>
        <w:t xml:space="preserve"> </w:t>
      </w:r>
      <w:r>
        <w:t xml:space="preserve">Integrate our Financial Analyst team's monthly market briefings into sales training - proven to increase cross-selling by 21% in Abuja.</w:t>
      </w:r>
    </w:p>
    <w:bookmarkEnd w:id="25"/>
    <w:bookmarkStart w:id="26" w:name="Xda20f7c4b1400454d63af0a80b1c2fb29a49963"/>
    <w:p>
      <w:pPr>
        <w:pStyle w:val="Heading2"/>
      </w:pPr>
      <w:r>
        <w:t xml:space="preserve">VII. Conclusion: The Strategic Imperative of Financial Analysts in Nigeria Abuja</w:t>
      </w:r>
    </w:p>
    <w:p>
      <w:pPr>
        <w:pStyle w:val="FirstParagraph"/>
      </w:pPr>
      <w:r>
        <w:t xml:space="preserve">This Sales Report conclusively demonstrates that our Financial Analyst team is not merely a support function but the engine driving sales success across Nigeria Abuja. In a market characterized by rapid regulatory shifts, currency volatility, and unique government dynamics like those in Abuja's Federal Capital Territory, data-driven decision-making has proven essential. The 18.7% Q3 revenue growth was not accidental—it resulted directly from our Financial Analysts' ability to translate complex economic variables into actionable sales strategies.</w:t>
      </w:r>
    </w:p>
    <w:p>
      <w:pPr>
        <w:pStyle w:val="BodyText"/>
      </w:pPr>
      <w:r>
        <w:t xml:space="preserve">Looking ahead, we recommend elevating the Financial Analyst role within Abuja's sales structure to a dedicated Sales Strategy Unit reporting directly to the Regional Director. This structural change will amplify our competitive advantage in Nigeria's most strategically significant market. As markets evolve and Nigeria Abuja continues its transformation into Africa's premier business hub, our Financial Analysts will remain indispensable for transforming data into revenue growth.</w:t>
      </w:r>
    </w:p>
    <w:p>
      <w:pPr>
        <w:pStyle w:val="BodyText"/>
      </w:pPr>
      <w:r>
        <w:rPr>
          <w:bCs/>
          <w:b/>
        </w:rPr>
        <w:t xml:space="preserve">Financial Analyst Team Signature:</w:t>
      </w:r>
      <w:r>
        <w:br/>
      </w:r>
      <w:r>
        <w:t xml:space="preserve">Chukwuma Nwosu, Lead Financial Analyst (Abuja)</w:t>
      </w:r>
      <w:r>
        <w:br/>
      </w:r>
      <w:r>
        <w:t xml:space="preserve">Amina Bello, Senior Sales Performance Analyst</w:t>
      </w:r>
      <w:r>
        <w:br/>
      </w:r>
      <w:r>
        <w:t xml:space="preserve">Tunde Akintola, Economic Intelligence Specialist</w:t>
      </w:r>
    </w:p>
    <w:p>
      <w:pPr>
        <w:pStyle w:val="BodyText"/>
      </w:pPr>
      <w:r>
        <w:rPr>
          <w:iCs/>
          <w:i/>
        </w:rPr>
        <w:t xml:space="preserve">This Sales Report is confidential property of [Company Name] and intended solely for Abuja Regional Management use. All analysis based on Nigeria Central Bank data, NBS reports, and proprietary Abuja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 Abuja Financial Analyst Department</dc:title>
  <dc:creator/>
  <dc:language>en</dc:language>
  <cp:keywords/>
  <dcterms:created xsi:type="dcterms:W3CDTF">2026-07-21T06:06:14Z</dcterms:created>
  <dcterms:modified xsi:type="dcterms:W3CDTF">2026-07-21T06:06:14Z</dcterms:modified>
</cp:coreProperties>
</file>

<file path=docProps/custom.xml><?xml version="1.0" encoding="utf-8"?>
<Properties xmlns="http://schemas.openxmlformats.org/officeDocument/2006/custom-properties" xmlns:vt="http://schemas.openxmlformats.org/officeDocument/2006/docPropsVTypes"/>
</file>