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Karachi,</w:t>
      </w:r>
      <w:r>
        <w:t xml:space="preserve"> </w:t>
      </w:r>
      <w:r>
        <w:t xml:space="preserve">Pakistan</w:t>
      </w:r>
    </w:p>
    <w:bookmarkStart w:id="26" w:name="X9eb33e21fc3c7c862ffd6d0c02a8c9483e87d61"/>
    <w:p>
      <w:pPr>
        <w:pStyle w:val="Heading1"/>
      </w:pPr>
      <w:r>
        <w:t xml:space="preserve">Sales Performance Analysis Report: Financial Analyst Perspective in Pakistan Karachi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Karachi Branch Office</w:t>
      </w:r>
      <w:r>
        <w:br/>
      </w:r>
      <w:r>
        <w:rPr>
          <w:bCs/>
          <w:b/>
        </w:rPr>
        <w:t xml:space="preserve">Prepared By:</w:t>
      </w:r>
      <w:r>
        <w:t xml:space="preserve"> </w:t>
      </w:r>
      <w:r>
        <w:t xml:space="preserve">Financial Analysis Department, Pakistan Operations</w:t>
      </w:r>
    </w:p>
    <w:bookmarkStart w:id="20" w:name="i.-executive-summary"/>
    <w:p>
      <w:pPr>
        <w:pStyle w:val="Heading2"/>
      </w:pPr>
      <w:r>
        <w:t xml:space="preserve">I. Executive Summary</w:t>
      </w:r>
    </w:p>
    <w:p>
      <w:pPr>
        <w:pStyle w:val="FirstParagraph"/>
      </w:pPr>
      <w:r>
        <w:t xml:space="preserve">This comprehensive Sales Report presents the Q3 2023 financial performance analysis conducted by our dedicated Financial Analyst team in Pakistan Karachi. The report confirms that despite regional economic volatility, our sales growth trajectory remains robust with a 14.7% YoY increase in revenue within the Karachi market – significantly outperforming national averages. As the economic epicenter of Pakistan, Karachi's strategic importance necessitates specialized financial oversight, which our Financial Analysts have provided through rigorous data interpretation and market-specific insights. This document serves as both a performance benchmark and a strategic roadmap for sustaining growth in this critical urban economy.</w:t>
      </w:r>
    </w:p>
    <w:bookmarkEnd w:id="20"/>
    <w:bookmarkStart w:id="21" w:name="X1d3f436e1828ee3a90392279abce2f03e70e137"/>
    <w:p>
      <w:pPr>
        <w:pStyle w:val="Heading2"/>
      </w:pPr>
      <w:r>
        <w:t xml:space="preserve">II. Key Sales Metrics &amp; Financial Analysis (Karachi Focus)</w:t>
      </w:r>
    </w:p>
    <w:p>
      <w:pPr>
        <w:pStyle w:val="FirstParagraph"/>
      </w:pPr>
      <w:r>
        <w:t xml:space="preserve">Our Karachi-based Financial Analysts have meticulously evaluated the following metrics against Q3 2023 targets: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Performance Metric</w:t>
            </w:r>
          </w:p>
        </w:tc>
        <w:tc>
          <w:tcPr/>
          <w:p>
            <w:pPr>
              <w:pStyle w:val="Compact"/>
              <w:jc w:val="left"/>
            </w:pPr>
            <w:r>
              <w:t xml:space="preserve">Q3 2023 Value</w:t>
            </w:r>
          </w:p>
        </w:tc>
        <w:tc>
          <w:tcPr/>
          <w:p>
            <w:pPr>
              <w:pStyle w:val="Compact"/>
              <w:jc w:val="left"/>
            </w:pPr>
            <w:r>
              <w:t xml:space="preserve">Target</w:t>
            </w:r>
          </w:p>
        </w:tc>
        <w:tc>
          <w:tcPr/>
          <w:p>
            <w:pPr>
              <w:pStyle w:val="Compact"/>
              <w:jc w:val="left"/>
            </w:pPr>
            <w:r>
              <w:t xml:space="preserve">Variance</w:t>
            </w:r>
          </w:p>
        </w:tc>
        <w:tc>
          <w:tcPr/>
          <w:p>
            <w:pPr>
              <w:pStyle w:val="Compact"/>
            </w:pPr>
          </w:p>
        </w:tc>
      </w:tr>
      <w:tr>
        <w:tc>
          <w:tcPr/>
          <w:p>
            <w:pPr>
              <w:pStyle w:val="Compact"/>
              <w:jc w:val="left"/>
            </w:pPr>
            <w:r>
              <w:t xml:space="preserve">Total Sales Revenue (PKR)</w:t>
            </w:r>
          </w:p>
        </w:tc>
        <w:tc>
          <w:tcPr/>
          <w:p>
            <w:pPr>
              <w:pStyle w:val="Compact"/>
              <w:jc w:val="left"/>
            </w:pPr>
            <w:r>
              <w:t xml:space="preserve">₨ 847.2M</w:t>
            </w:r>
          </w:p>
        </w:tc>
        <w:tc>
          <w:tcPr/>
          <w:p>
            <w:pPr>
              <w:pStyle w:val="Compact"/>
              <w:jc w:val="left"/>
            </w:pPr>
            <w:r>
              <w:t xml:space="preserve">₨ 735.0M</w:t>
            </w:r>
          </w:p>
        </w:tc>
        <w:tc>
          <w:tcPr/>
          <w:p>
            <w:pPr>
              <w:pStyle w:val="Compact"/>
              <w:jc w:val="left"/>
            </w:pPr>
            <w:r>
              <w:t xml:space="preserve">+15.3%</w:t>
            </w:r>
          </w:p>
        </w:tc>
        <w:tc>
          <w:tcPr/>
          <w:p>
            <w:pPr>
              <w:pStyle w:val="Compact"/>
            </w:pPr>
          </w:p>
        </w:tc>
      </w:tr>
      <w:tr>
        <w:tc>
          <w:tcPr/>
          <w:p>
            <w:pPr>
              <w:pStyle w:val="Compact"/>
              <w:jc w:val="left"/>
            </w:pPr>
            <w:r>
              <w:t xml:space="preserve">Product A Market Share</w:t>
            </w:r>
          </w:p>
        </w:tc>
        <w:tc>
          <w:tcPr/>
          <w:p>
            <w:pPr>
              <w:pStyle w:val="Compact"/>
              <w:jc w:val="left"/>
            </w:pPr>
            <w:r>
              <w:t xml:space="preserve">28.6%</w:t>
            </w:r>
          </w:p>
        </w:tc>
        <w:tc>
          <w:tcPr>
            <w:gridSpan w:val="2"/>
          </w:tcPr>
          <w:p>
            <w:pPr>
              <w:pStyle w:val="Compact"/>
              <w:jc w:val="left"/>
            </w:pPr>
            <w:r>
              <w:t xml:space="preserve">+4.1% YoY (Karachi leader)</w:t>
            </w:r>
          </w:p>
        </w:tc>
        <w:tc>
          <w:tcPr/>
          <w:p>
            <w:pPr>
              <w:pStyle w:val="Compact"/>
            </w:pPr>
          </w:p>
        </w:tc>
      </w:tr>
      <w:tr>
        <w:tc>
          <w:tcPr/>
          <w:p>
            <w:pPr>
              <w:pStyle w:val="Compact"/>
              <w:jc w:val="left"/>
            </w:pPr>
            <w:r>
              <w:t xml:space="preserve">New Client Acquisition</w:t>
            </w:r>
          </w:p>
        </w:tc>
        <w:tc>
          <w:tcPr/>
          <w:p>
            <w:pPr>
              <w:pStyle w:val="Compact"/>
              <w:jc w:val="left"/>
            </w:pPr>
            <w:r>
              <w:t xml:space="preserve">187</w:t>
            </w:r>
          </w:p>
        </w:tc>
        <w:tc>
          <w:tcPr/>
          <w:p>
            <w:pPr>
              <w:pStyle w:val="Compact"/>
              <w:jc w:val="left"/>
            </w:pPr>
            <w:r>
              <w:t xml:space="preserve">150</w:t>
            </w:r>
          </w:p>
        </w:tc>
        <w:tc>
          <w:tcPr/>
          <w:p>
            <w:pPr>
              <w:pStyle w:val="Compact"/>
              <w:jc w:val="left"/>
            </w:pPr>
            <w:r>
              <w:t xml:space="preserve">+24.7%</w:t>
            </w:r>
          </w:p>
        </w:tc>
        <w:tc>
          <w:tcPr/>
          <w:p>
            <w:pPr>
              <w:pStyle w:val="Compact"/>
            </w:pPr>
          </w:p>
        </w:tc>
      </w:tr>
      <w:tr>
        <w:tc>
          <w:tcPr/>
          <w:p>
            <w:pPr>
              <w:pStyle w:val="Compact"/>
              <w:jc w:val="left"/>
            </w:pPr>
            <w:r>
              <w:t xml:space="preserve">Customer Retention Rate</w:t>
            </w:r>
          </w:p>
        </w:tc>
        <w:tc>
          <w:tcPr>
            <w:gridSpan w:val="2"/>
          </w:tcPr>
          <w:p>
            <w:pPr>
              <w:pStyle w:val="Compact"/>
              <w:jc w:val="left"/>
            </w:pPr>
            <w:r>
              <w:t xml:space="preserve">92.3%</w:t>
            </w:r>
          </w:p>
        </w:tc>
        <w:tc>
          <w:tcPr>
            <w:gridSpan w:val="2"/>
          </w:tcPr>
          <w:p>
            <w:pPr>
              <w:pStyle w:val="Compact"/>
              <w:jc w:val="left"/>
            </w:pPr>
            <w:r>
              <w:t xml:space="preserve">+3.8% vs Q2</w:t>
            </w:r>
          </w:p>
        </w:tc>
      </w:tr>
    </w:tbl>
    <w:p>
      <w:pPr>
        <w:pStyle w:val="BodyText"/>
      </w:pPr>
      <w:r>
        <w:t xml:space="preserve">The Financial Analyst team attributes this success to two Karachi-specific factors: 1) Strategic partnership with 5 major industrial zones (SITE, Korangi, Landhi), and 2) Data-driven pricing adjustments for the local inflationary environment. Notably, our Financial Analysts identified a critical opportunity in the mid-tier commercial sector – an untapped segment representing PKR 320M in potential sales – which we have now prioritized.</w:t>
      </w:r>
    </w:p>
    <w:bookmarkEnd w:id="21"/>
    <w:bookmarkStart w:id="22" w:name="iii.-karachi-specific-market-analysis"/>
    <w:p>
      <w:pPr>
        <w:pStyle w:val="Heading2"/>
      </w:pPr>
      <w:r>
        <w:t xml:space="preserve">III. Karachi-Specific Market Analysis</w:t>
      </w:r>
    </w:p>
    <w:p>
      <w:pPr>
        <w:pStyle w:val="FirstParagraph"/>
      </w:pPr>
      <w:r>
        <w:t xml:space="preserve">As Pakistan's largest city and financial hub, Karachi presents unique dynamics requiring nuanced analysis. Our Financial Analysts conducted granular territory mapping showing:</w:t>
      </w:r>
    </w:p>
    <w:p>
      <w:pPr>
        <w:numPr>
          <w:ilvl w:val="0"/>
          <w:numId w:val="1001"/>
        </w:numPr>
        <w:pStyle w:val="Compact"/>
      </w:pPr>
      <w:r>
        <w:rPr>
          <w:bCs/>
          <w:b/>
        </w:rPr>
        <w:t xml:space="preserve">North Karachi Dominance:</w:t>
      </w:r>
      <w:r>
        <w:t xml:space="preserve"> </w:t>
      </w:r>
      <w:r>
        <w:t xml:space="preserve">41% of sales driven by industrial corridors (PNS, Karsaz), where our Financial Analyst identified a 22% higher order value versus city average due to heavy machinery demand.</w:t>
      </w:r>
    </w:p>
    <w:p>
      <w:pPr>
        <w:numPr>
          <w:ilvl w:val="0"/>
          <w:numId w:val="1001"/>
        </w:numPr>
        <w:pStyle w:val="Compact"/>
      </w:pPr>
      <w:r>
        <w:rPr>
          <w:bCs/>
          <w:b/>
        </w:rPr>
        <w:t xml:space="preserve">South Karachi Opportunity:</w:t>
      </w:r>
      <w:r>
        <w:t xml:space="preserve"> </w:t>
      </w:r>
      <w:r>
        <w:t xml:space="preserve">A 37% growth in SME sector orders – flagged by Financial Analysts as a strategic priority after identifying underpenetrated tech adoption rates (only 48% of businesses use digital solutions vs. 65% national average).</w:t>
      </w:r>
    </w:p>
    <w:p>
      <w:pPr>
        <w:numPr>
          <w:ilvl w:val="0"/>
          <w:numId w:val="1001"/>
        </w:numPr>
        <w:pStyle w:val="Compact"/>
      </w:pPr>
      <w:r>
        <w:rPr>
          <w:bCs/>
          <w:b/>
        </w:rPr>
        <w:t xml:space="preserve">Economic Impact Factor:</w:t>
      </w:r>
      <w:r>
        <w:t xml:space="preserve"> </w:t>
      </w:r>
      <w:r>
        <w:t xml:space="preserve">Our Financial Analyst models confirmed that Karachi's 12.4% inflation rate (vs national 9.1%) directly influenced pricing elasticity, requiring quarterly adjustment protocols we've now implemented.</w:t>
      </w:r>
    </w:p>
    <w:bookmarkEnd w:id="22"/>
    <w:bookmarkStart w:id="23" w:name="X8bf0ba92fd5157c3d7851e7b193850e03228434"/>
    <w:p>
      <w:pPr>
        <w:pStyle w:val="Heading2"/>
      </w:pPr>
      <w:r>
        <w:t xml:space="preserve">IV. Challenges &amp; Strategic Insights from Pakistan Karachi Market</w:t>
      </w:r>
    </w:p>
    <w:p>
      <w:pPr>
        <w:pStyle w:val="FirstParagraph"/>
      </w:pPr>
      <w:r>
        <w:t xml:space="preserve">The Financial Analyst team highlighted three Karachi-specific challenges requiring immediate action:</w:t>
      </w:r>
    </w:p>
    <w:p>
      <w:pPr>
        <w:numPr>
          <w:ilvl w:val="0"/>
          <w:numId w:val="1002"/>
        </w:numPr>
        <w:pStyle w:val="Compact"/>
      </w:pPr>
      <w:r>
        <w:rPr>
          <w:bCs/>
          <w:b/>
        </w:rPr>
        <w:t xml:space="preserve">Logistics Fragmentation:</w:t>
      </w:r>
      <w:r>
        <w:t xml:space="preserve"> </w:t>
      </w:r>
      <w:r>
        <w:t xml:space="preserve">31% of delivery delays traced to outdated port infrastructure at Port Qasim (Karachi's primary gateway). Our Financial Analyst recommended establishing a local distribution hub – projected ROI: 260% within 18 months.</w:t>
      </w:r>
    </w:p>
    <w:p>
      <w:pPr>
        <w:numPr>
          <w:ilvl w:val="0"/>
          <w:numId w:val="1002"/>
        </w:numPr>
        <w:pStyle w:val="Compact"/>
      </w:pPr>
      <w:r>
        <w:rPr>
          <w:bCs/>
          <w:b/>
        </w:rPr>
        <w:t xml:space="preserve">Currency Volatility:</w:t>
      </w:r>
      <w:r>
        <w:t xml:space="preserve"> </w:t>
      </w:r>
      <w:r>
        <w:t xml:space="preserve">USD/PKR fluctuations (45.8 to 47.3 in Q3) impacted import costs for key components. The Financial Analyst developed a dynamic hedging strategy that reduced cost variance by 29% compared to previous quarters.</w:t>
      </w:r>
    </w:p>
    <w:p>
      <w:pPr>
        <w:numPr>
          <w:ilvl w:val="0"/>
          <w:numId w:val="1002"/>
        </w:numPr>
        <w:pStyle w:val="Compact"/>
      </w:pPr>
      <w:r>
        <w:rPr>
          <w:bCs/>
          <w:b/>
        </w:rPr>
        <w:t xml:space="preserve">Tax Compliance Complexity:</w:t>
      </w:r>
      <w:r>
        <w:t xml:space="preserve"> </w:t>
      </w:r>
      <w:r>
        <w:t xml:space="preserve">New SRO regulations required real-time adjustments. Our Karachi-based Financial Analyst team automated reporting, saving 120+ monthly man-hours while ensuring 100% compliance.</w:t>
      </w:r>
    </w:p>
    <w:bookmarkEnd w:id="23"/>
    <w:bookmarkStart w:id="24" w:name="Xc69aff4052645a89613a3e2134af9bbb74a482b"/>
    <w:p>
      <w:pPr>
        <w:pStyle w:val="Heading2"/>
      </w:pPr>
      <w:r>
        <w:t xml:space="preserve">V. Strategic Recommendations for Karachi Market Expansion</w:t>
      </w:r>
    </w:p>
    <w:p>
      <w:pPr>
        <w:pStyle w:val="FirstParagraph"/>
      </w:pPr>
      <w:r>
        <w:t xml:space="preserve">Based on the Sales Report analysis, our Financial Analyst department proposes these Karachi-specific initiatives:</w:t>
      </w:r>
    </w:p>
    <w:p>
      <w:pPr>
        <w:numPr>
          <w:ilvl w:val="0"/>
          <w:numId w:val="1003"/>
        </w:numPr>
        <w:pStyle w:val="Compact"/>
      </w:pPr>
      <w:r>
        <w:rPr>
          <w:bCs/>
          <w:b/>
        </w:rPr>
        <w:t xml:space="preserve">Establish Karachian SME Digital Hub:</w:t>
      </w:r>
      <w:r>
        <w:t xml:space="preserve"> </w:t>
      </w:r>
      <w:r>
        <w:t xml:space="preserve">Targeting 1,000+ micro-businesses through simplified digital packages. Projected: PKR 185M incremental revenue by Q2 2024 (validated by Financial Analysts' market simulation models).</w:t>
      </w:r>
    </w:p>
    <w:p>
      <w:pPr>
        <w:numPr>
          <w:ilvl w:val="0"/>
          <w:numId w:val="1003"/>
        </w:numPr>
        <w:pStyle w:val="Compact"/>
      </w:pPr>
      <w:r>
        <w:rPr>
          <w:bCs/>
          <w:b/>
        </w:rPr>
        <w:t xml:space="preserve">Regional Pricing Model Enhancement:</w:t>
      </w:r>
      <w:r>
        <w:t xml:space="preserve"> </w:t>
      </w:r>
      <w:r>
        <w:t xml:space="preserve">Implement tiered pricing for Karachi's economic zones – approved by our Financial Analyst team after analyzing purchasing power parity across 37 districts.</w:t>
      </w:r>
    </w:p>
    <w:p>
      <w:pPr>
        <w:numPr>
          <w:ilvl w:val="0"/>
          <w:numId w:val="1003"/>
        </w:numPr>
        <w:pStyle w:val="Compact"/>
      </w:pPr>
      <w:r>
        <w:rPr>
          <w:bCs/>
          <w:b/>
        </w:rPr>
        <w:t xml:space="preserve">Skill Development Program:</w:t>
      </w:r>
      <w:r>
        <w:t xml:space="preserve"> </w:t>
      </w:r>
      <w:r>
        <w:t xml:space="preserve">Partner with Karachi University for specialized training in regional financial analysis – directly addressing the 63% skills gap identified in local market data by our analysts.</w:t>
      </w:r>
    </w:p>
    <w:bookmarkEnd w:id="24"/>
    <w:bookmarkStart w:id="25" w:name="vi.-conclusion-forward-outlook"/>
    <w:p>
      <w:pPr>
        <w:pStyle w:val="Heading2"/>
      </w:pPr>
      <w:r>
        <w:t xml:space="preserve">VI. Conclusion &amp; Forward Outlook</w:t>
      </w:r>
    </w:p>
    <w:p>
      <w:pPr>
        <w:pStyle w:val="FirstParagraph"/>
      </w:pPr>
      <w:r>
        <w:t xml:space="preserve">This Sales Report underscores that Pakistan Karachi's market demands a hyper-localized Financial Analyst approach to translate raw sales data into actionable growth strategies. Our team's work has not only driven current performance but established predictive frameworks for future volatility – including modeling the impact of upcoming infrastructure projects like the Karachi Circular Railway on sales trajectories.</w:t>
      </w:r>
    </w:p>
    <w:p>
      <w:pPr>
        <w:pStyle w:val="BodyText"/>
      </w:pPr>
      <w:r>
        <w:t xml:space="preserve">As we enter Q4, our Financial Analysts will prioritize two critical initiatives: 1) Developing a Karachi-specific ESG (Environmental, Social, Governance) compliance dashboard for client reporting requirements under Pakistan's new corporate regulations, and 2) Creating a real-time market sentiment index tracking Karachi-based business confidence through local economic indicators. These innovations position us to maintain our leadership in the Pakistan market while setting new standards for Financial Analyst excellence in emerging economies.</w:t>
      </w:r>
    </w:p>
    <w:p>
      <w:pPr>
        <w:pStyle w:val="BodyText"/>
      </w:pPr>
      <w:r>
        <w:t xml:space="preserve">In summary, this Sales Report demonstrates how specialized Financial Analyst capabilities – deeply attuned to Pakistan Karachi's operational landscape – transform sales performance from reactive to strategic. The data clearly shows that investing in Karachi-centric financial analysis directly correlates with accelerated revenue growth, client retention, and market resilience. We recommend maintaining our dedicated Financial Analyst unit structure for Pakistan operations as a core competitive advantage.</w:t>
      </w:r>
    </w:p>
    <w:p>
      <w:pPr>
        <w:pStyle w:val="BodyText"/>
      </w:pPr>
      <w:r>
        <w:rPr>
          <w:bCs/>
          <w:b/>
        </w:rPr>
        <w:t xml:space="preserve">Prepared By:</w:t>
      </w:r>
      <w:r>
        <w:t xml:space="preserve"> </w:t>
      </w:r>
      <w:r>
        <w:t xml:space="preserve">Aisha Raza, Senior Financial Analyst | Karachi Market Operations</w:t>
      </w:r>
      <w:r>
        <w:br/>
      </w:r>
      <w:r>
        <w:rPr>
          <w:bCs/>
          <w:b/>
        </w:rPr>
        <w:t xml:space="preserve">Verification Authority:</w:t>
      </w:r>
      <w:r>
        <w:t xml:space="preserve"> </w:t>
      </w:r>
      <w:r>
        <w:t xml:space="preserve">Capital Markets Division, Pakistan Stock Exchange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 Karachi, Pakistan</dc:title>
  <dc:creator/>
  <dc:language>en</dc:language>
  <cp:keywords/>
  <dcterms:created xsi:type="dcterms:W3CDTF">2026-07-23T19:16:04Z</dcterms:created>
  <dcterms:modified xsi:type="dcterms:W3CDTF">2026-07-23T19:16:04Z</dcterms:modified>
</cp:coreProperties>
</file>

<file path=docProps/custom.xml><?xml version="1.0" encoding="utf-8"?>
<Properties xmlns="http://schemas.openxmlformats.org/officeDocument/2006/custom-properties" xmlns:vt="http://schemas.openxmlformats.org/officeDocument/2006/docPropsVTypes"/>
</file>