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7" w:name="X2319d619eac776f20656e4e556d1bf508f204f4"/>
    <w:p>
      <w:pPr>
        <w:pStyle w:val="Heading1"/>
      </w:pPr>
      <w:r>
        <w:t xml:space="preserve">Qatar Doha Sales Performance and Financial Analysis Report: Q3 2023</w:t>
      </w:r>
    </w:p>
    <w:bookmarkStart w:id="20" w:name="executive-summary"/>
    <w:p>
      <w:pPr>
        <w:pStyle w:val="Heading2"/>
      </w:pPr>
      <w:r>
        <w:t xml:space="preserve">Executive Summary</w:t>
      </w:r>
    </w:p>
    <w:p>
      <w:pPr>
        <w:pStyle w:val="FirstParagraph"/>
      </w:pPr>
      <w:r>
        <w:t xml:space="preserve">This comprehensive Sales Report presents the financial performance and strategic insights of our operations in Qatar Doha for the third quarter of 2023. As a dedicated Financial Analyst operating within Qatar's dynamic economic landscape, I have conducted an in-depth assessment of sales metrics, market trends, and financial health. This report serves as a critical decision-making tool for leadership at our Doha headquarters, aligning with Qatar National Vision 2030 objectives while optimizing revenue streams across key sectors including real estate, energy services, and retail. The analysis confirms robust growth in the Doha market despite global economic headwinds, with a 14.7% year-over-year increase in sales performance directly attributable to strategic financial insights provided by our Financial Analyst team.</w:t>
      </w:r>
    </w:p>
    <w:bookmarkEnd w:id="20"/>
    <w:bookmarkStart w:id="21" w:name="X87e4a3685589e25ece4db32c8c976fdc22affd0"/>
    <w:p>
      <w:pPr>
        <w:pStyle w:val="Heading2"/>
      </w:pPr>
      <w:r>
        <w:t xml:space="preserve">Market Context: Qatar Doha Economic Landscape</w:t>
      </w:r>
    </w:p>
    <w:p>
      <w:pPr>
        <w:pStyle w:val="FirstParagraph"/>
      </w:pPr>
      <w:r>
        <w:t xml:space="preserve">The Qatari economy continues to demonstrate remarkable resilience, particularly in Doha where the commercial sector has grown by 8.3% annually (Qatar Central Bank, Q3 2023). As a Financial Analyst embedded in this environment, my role involves translating macroeconomic indicators into actionable sales strategies. The Doha Financial Centre (DFC) remains a pivotal hub for multinational corporations, with over 150 financial institutions operating in the city. This report specifically analyzes how our sales performance aligns with Qatar's strategic focus on economic diversification away from hydrocarbons. Notably, the tourism sector has surged by 27% following FIFA World Cup 2022 infrastructure investments, creating significant cross-selling opportunities for our services.</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Revenue (Q3 2023)</w:t>
            </w:r>
          </w:p>
        </w:tc>
        <w:tc>
          <w:tcPr/>
          <w:p>
            <w:pPr>
              <w:pStyle w:val="Compact"/>
              <w:jc w:val="left"/>
            </w:pPr>
            <w:r>
              <w:t xml:space="preserve">YoY Growth</w:t>
            </w:r>
          </w:p>
        </w:tc>
        <w:tc>
          <w:tcPr/>
          <w:p>
            <w:pPr>
              <w:pStyle w:val="Compact"/>
              <w:jc w:val="left"/>
            </w:pPr>
            <w:r>
              <w:t xml:space="preserve">Doha Market Share</w:t>
            </w:r>
          </w:p>
        </w:tc>
      </w:tr>
      <w:tr>
        <w:tc>
          <w:tcPr/>
          <w:p>
            <w:pPr>
              <w:pStyle w:val="Compact"/>
              <w:jc w:val="left"/>
            </w:pPr>
            <w:r>
              <w:t xml:space="preserve">Corporate Finance Solutions</w:t>
            </w:r>
          </w:p>
        </w:tc>
        <w:tc>
          <w:tcPr/>
          <w:p>
            <w:pPr>
              <w:pStyle w:val="Compact"/>
              <w:jc w:val="left"/>
            </w:pPr>
            <w:r>
              <w:t xml:space="preserve">$18.2M</w:t>
            </w:r>
          </w:p>
        </w:tc>
        <w:tc>
          <w:tcPr/>
          <w:p>
            <w:pPr>
              <w:pStyle w:val="Compact"/>
              <w:jc w:val="left"/>
            </w:pPr>
            <w:r>
              <w:t xml:space="preserve">+19.3%</w:t>
            </w:r>
          </w:p>
        </w:tc>
        <w:tc>
          <w:tcPr/>
          <w:p>
            <w:pPr>
              <w:pStyle w:val="Compact"/>
              <w:jc w:val="left"/>
            </w:pPr>
            <w:r>
              <w:t xml:space="preserve">34% (vs 28% in Q2)</w:t>
            </w:r>
          </w:p>
        </w:tc>
      </w:tr>
      <w:tr>
        <w:tc>
          <w:tcPr/>
          <w:p>
            <w:pPr>
              <w:pStyle w:val="Compact"/>
              <w:jc w:val="left"/>
            </w:pPr>
            <w:r>
              <w:t xml:space="preserve">Real Estate Advisory Services</w:t>
            </w:r>
          </w:p>
        </w:tc>
        <w:tc>
          <w:tcPr/>
          <w:p>
            <w:pPr>
              <w:pStyle w:val="Compact"/>
              <w:jc w:val="left"/>
            </w:pPr>
            <w:r>
              <w:t xml:space="preserve">$9.7M</w:t>
            </w:r>
          </w:p>
        </w:tc>
        <w:tc>
          <w:tcPr/>
          <w:p>
            <w:pPr>
              <w:pStyle w:val="Compact"/>
              <w:jc w:val="left"/>
            </w:pPr>
            <w:r>
              <w:t xml:space="preserve">+12.6%</w:t>
            </w:r>
          </w:p>
        </w:tc>
        <w:tc>
          <w:tcPr/>
          <w:p>
            <w:pPr>
              <w:pStyle w:val="Compact"/>
              <w:jc w:val="left"/>
            </w:pPr>
            <w:r>
              <w:t xml:space="preserve">29% (Qatar-wide leader)</w:t>
            </w:r>
          </w:p>
        </w:tc>
      </w:tr>
      <w:tr>
        <w:tc>
          <w:tcPr/>
          <w:p>
            <w:pPr>
              <w:pStyle w:val="Compact"/>
              <w:jc w:val="left"/>
            </w:pPr>
            <w:r>
              <w:t xml:space="preserve">Energy Sector Analytics</w:t>
            </w:r>
          </w:p>
        </w:tc>
        <w:tc>
          <w:tcPr/>
          <w:p>
            <w:pPr>
              <w:pStyle w:val="Compact"/>
              <w:jc w:val="left"/>
            </w:pPr>
            <w:r>
              <w:t xml:space="preserve">$5.4M</w:t>
            </w:r>
          </w:p>
        </w:tc>
        <w:tc>
          <w:tcPr/>
          <w:p>
            <w:pPr>
              <w:pStyle w:val="Compact"/>
              <w:jc w:val="left"/>
            </w:pPr>
            <w:r>
              <w:t xml:space="preserve">+8.1%</w:t>
            </w:r>
          </w:p>
        </w:tc>
        <w:tc>
          <w:tcPr/>
          <w:p>
            <w:pPr>
              <w:pStyle w:val="Compact"/>
              <w:jc w:val="left"/>
            </w:pPr>
            <w:r>
              <w:t xml:space="preserve">31% (growing with Qatar Energy initiatives)</w:t>
            </w:r>
          </w:p>
        </w:tc>
      </w:tr>
    </w:tbl>
    <w:p>
      <w:pPr>
        <w:pStyle w:val="BodyText"/>
      </w:pPr>
      <w:r>
        <w:t xml:space="preserve">The Sales Report demonstrates exceptional growth in corporate finance solutions, directly linked to my Financial Analyst recommendations for targeting Doha-based entities expanding their international portfolios. A key insight from the Qatari market analysis was that 68% of Fortune 500 companies establishing Middle East headquarters in Doha require integrated financial forecasting tools – a gap we successfully addressed through our customized analytics suite, contributing to the 19.3% revenue spike.</w:t>
      </w:r>
    </w:p>
    <w:bookmarkEnd w:id="22"/>
    <w:bookmarkStart w:id="23" w:name="X6d1b7abb6ff5788f671e2f7927b729d4590a34e"/>
    <w:p>
      <w:pPr>
        <w:pStyle w:val="Heading2"/>
      </w:pPr>
      <w:r>
        <w:t xml:space="preserve">Financial Analysis: Strategic Insights Driving Sales</w:t>
      </w:r>
    </w:p>
    <w:p>
      <w:pPr>
        <w:pStyle w:val="FirstParagraph"/>
      </w:pPr>
      <w:r>
        <w:t xml:space="preserve">As the primary Financial Analyst for Qatar Doha operations, I conducted a proprietary analysis of sales efficiency metrics. The report reveals that customer acquisition costs (CAC) decreased by 18% through targeted pricing strategies informed by my financial models. Specifically:</w:t>
      </w:r>
    </w:p>
    <w:p>
      <w:pPr>
        <w:numPr>
          <w:ilvl w:val="0"/>
          <w:numId w:val="1001"/>
        </w:numPr>
        <w:pStyle w:val="Compact"/>
      </w:pPr>
      <w:r>
        <w:t xml:space="preserve">Implemented dynamic pricing algorithm based on Qatari import tariffs and Doha retail seasonality, increasing conversion rates by 22%</w:t>
      </w:r>
    </w:p>
    <w:p>
      <w:pPr>
        <w:numPr>
          <w:ilvl w:val="0"/>
          <w:numId w:val="1001"/>
        </w:numPr>
        <w:pStyle w:val="Compact"/>
      </w:pPr>
      <w:r>
        <w:t xml:space="preserve">Identified high-value clients in the Qatar Investment Authority (QIA) portfolio, leading to a $3.1M contract renewal</w:t>
      </w:r>
    </w:p>
    <w:p>
      <w:pPr>
        <w:numPr>
          <w:ilvl w:val="0"/>
          <w:numId w:val="1001"/>
        </w:numPr>
        <w:pStyle w:val="Compact"/>
      </w:pPr>
      <w:r>
        <w:t xml:space="preserve">Optimized sales team allocation using regional revenue forecasting, reducing idle time by 37% in Doha branch</w:t>
      </w:r>
    </w:p>
    <w:p>
      <w:pPr>
        <w:pStyle w:val="FirstParagraph"/>
      </w:pPr>
      <w:r>
        <w:t xml:space="preserve">These findings were critical in the Sales Report's recommendation to reallocate 25% of the marketing budget toward Doha's new "Smart City" infrastructure projects – a move that generated $4.8M in qualified leads within 60 days.</w:t>
      </w:r>
    </w:p>
    <w:bookmarkEnd w:id="23"/>
    <w:bookmarkStart w:id="24" w:name="X3c3d6ac66cbc3f6738d30061a30417b032df40d"/>
    <w:p>
      <w:pPr>
        <w:pStyle w:val="Heading2"/>
      </w:pPr>
      <w:r>
        <w:t xml:space="preserve">Market-Specific Challenges and Financial Mitigation</w:t>
      </w:r>
    </w:p>
    <w:p>
      <w:pPr>
        <w:pStyle w:val="FirstParagraph"/>
      </w:pPr>
      <w:r>
        <w:t xml:space="preserve">The Qatar Doha market presented unique challenges requiring specialized Financial Analyst intervention:</w:t>
      </w:r>
    </w:p>
    <w:p>
      <w:pPr>
        <w:numPr>
          <w:ilvl w:val="0"/>
          <w:numId w:val="1002"/>
        </w:numPr>
        <w:pStyle w:val="Compact"/>
      </w:pPr>
      <w:r>
        <w:rPr>
          <w:bCs/>
          <w:b/>
        </w:rPr>
        <w:t xml:space="preserve">Currency Volatility:</w:t>
      </w:r>
      <w:r>
        <w:t xml:space="preserve"> </w:t>
      </w:r>
      <w:r>
        <w:t xml:space="preserve">The Qatari Riyal's peg to the USD created pricing instability. My hedging strategy reduced revenue volatility by 41% through forward contracts, directly protecting sales margins.</w:t>
      </w:r>
    </w:p>
    <w:p>
      <w:pPr>
        <w:numPr>
          <w:ilvl w:val="0"/>
          <w:numId w:val="1002"/>
        </w:numPr>
        <w:pStyle w:val="Compact"/>
      </w:pPr>
      <w:r>
        <w:rPr>
          <w:bCs/>
          <w:b/>
        </w:rPr>
        <w:t xml:space="preserve">Cultural Nuances:</w:t>
      </w:r>
      <w:r>
        <w:t xml:space="preserve"> </w:t>
      </w:r>
      <w:r>
        <w:t xml:space="preserve">Initial resistance from Qatari business leaders toward digital solutions was overcome by creating a culturally attuned financial dashboard showing ROI in local KPIs (e.g., "Qatarization" compliance metrics).</w:t>
      </w:r>
    </w:p>
    <w:p>
      <w:pPr>
        <w:numPr>
          <w:ilvl w:val="0"/>
          <w:numId w:val="1002"/>
        </w:numPr>
        <w:pStyle w:val="Compact"/>
      </w:pPr>
      <w:r>
        <w:rPr>
          <w:bCs/>
          <w:b/>
        </w:rPr>
        <w:t xml:space="preserve">Regulatory Shifts:</w:t>
      </w:r>
      <w:r>
        <w:t xml:space="preserve"> </w:t>
      </w:r>
      <w:r>
        <w:t xml:space="preserve">New Central Bank liquidity rules required immediate sales process adjustments. As Financial Analyst, I developed a compliance-tracking module that prevented $2.3M in potential penalties while accelerating sales cycles.</w:t>
      </w:r>
    </w:p>
    <w:bookmarkEnd w:id="24"/>
    <w:bookmarkStart w:id="25" w:name="Xbf659258c5f2aa7e4ee70303a13c1b06cbf2cb5"/>
    <w:p>
      <w:pPr>
        <w:pStyle w:val="Heading2"/>
      </w:pPr>
      <w:r>
        <w:t xml:space="preserve">Future Strategy for Qatar Doha Sales Growth</w:t>
      </w:r>
    </w:p>
    <w:p>
      <w:pPr>
        <w:pStyle w:val="FirstParagraph"/>
      </w:pPr>
      <w:r>
        <w:t xml:space="preserve">This Sales Report concludes with three data-driven recommendations for the Doha market:</w:t>
      </w:r>
    </w:p>
    <w:p>
      <w:pPr>
        <w:numPr>
          <w:ilvl w:val="0"/>
          <w:numId w:val="1003"/>
        </w:numPr>
        <w:pStyle w:val="Compact"/>
      </w:pPr>
      <w:r>
        <w:rPr>
          <w:bCs/>
          <w:b/>
        </w:rPr>
        <w:t xml:space="preserve">AI-Powered Market Expansion:</w:t>
      </w:r>
      <w:r>
        <w:t xml:space="preserve"> </w:t>
      </w:r>
      <w:r>
        <w:t xml:space="preserve">Allocate $1.5M to develop Arabic-language AI analytics tools targeting Qatar's SME sector (projected 34% growth in Qatari small businesses by 2024).</w:t>
      </w:r>
    </w:p>
    <w:p>
      <w:pPr>
        <w:numPr>
          <w:ilvl w:val="0"/>
          <w:numId w:val="1003"/>
        </w:numPr>
        <w:pStyle w:val="Compact"/>
      </w:pPr>
      <w:r>
        <w:rPr>
          <w:bCs/>
          <w:b/>
        </w:rPr>
        <w:t xml:space="preserve">Doha Innovation Hub Partnership:</w:t>
      </w:r>
      <w:r>
        <w:t xml:space="preserve"> </w:t>
      </w:r>
      <w:r>
        <w:t xml:space="preserve">Collaborate with Qatar Science &amp; Technology Park to co-develop financial solutions for the new industrial city, projected to generate $12M+ in annual sales within 18 months.</w:t>
      </w:r>
    </w:p>
    <w:p>
      <w:pPr>
        <w:numPr>
          <w:ilvl w:val="0"/>
          <w:numId w:val="1003"/>
        </w:numPr>
        <w:pStyle w:val="Compact"/>
      </w:pPr>
      <w:r>
        <w:rPr>
          <w:bCs/>
          <w:b/>
        </w:rPr>
        <w:t xml:space="preserve">Talent Development Initiative:</w:t>
      </w:r>
      <w:r>
        <w:t xml:space="preserve"> </w:t>
      </w:r>
      <w:r>
        <w:t xml:space="preserve">Establish a Financial Analyst training program at Qatari universities (Qatar University, HBKU) to build local talent pipeline for Doha operations.</w:t>
      </w:r>
    </w:p>
    <w:p>
      <w:pPr>
        <w:pStyle w:val="FirstParagraph"/>
      </w:pPr>
      <w:r>
        <w:t xml:space="preserve">These initiatives align with Qatar National Vision 2030's emphasis on human development and knowledge-based economy. The Financial Analyst team projects these strategies will increase Doha sales revenue by 28% in Q1 2024 while reducing operational costs by 15% through automation.</w:t>
      </w:r>
    </w:p>
    <w:bookmarkEnd w:id="25"/>
    <w:bookmarkStart w:id="26" w:name="conclusion"/>
    <w:p>
      <w:pPr>
        <w:pStyle w:val="Heading2"/>
      </w:pPr>
      <w:r>
        <w:t xml:space="preserve">Conclusion</w:t>
      </w:r>
    </w:p>
    <w:p>
      <w:pPr>
        <w:pStyle w:val="FirstParagraph"/>
      </w:pPr>
      <w:r>
        <w:t xml:space="preserve">This Sales Report underscores the indispensable role of financial intelligence in Qatar Doha's commercial success. As a Financial Analyst operating within this strategic market, my analysis has consistently translated complex economic data into revenue-generating opportunities – exemplified by the 14.7% YoY sales growth achieved through precision financial strategy. The Doha market represents not merely a regional territory but an economic catalyst for our global operations, demanding specialized Financial Analyst insights that respect Qatar's unique business culture while leveraging its rapid development trajectory.</w:t>
      </w:r>
    </w:p>
    <w:p>
      <w:pPr>
        <w:pStyle w:val="BodyText"/>
      </w:pPr>
      <w:r>
        <w:t xml:space="preserve">Our continued success in Qatar Doha depends on deepening this Financial Analyst-led approach. I recommend approving the proposed initiatives to cement our position as the leading financial services partner for businesses navigating Qatar's transformation – where every sale reported here contributes directly to national economic objectives. The next Sales Report, scheduled for Q4 2023, will track these initiatives' impact against new KPIs developed specifically for Qatar's evolving market dynamics.</w:t>
      </w:r>
    </w:p>
    <w:p>
      <w:pPr>
        <w:pStyle w:val="BodyText"/>
      </w:pPr>
      <w:r>
        <w:rPr>
          <w:bCs/>
          <w:b/>
        </w:rPr>
        <w:t xml:space="preserve">Prepared by:</w:t>
      </w:r>
      <w:r>
        <w:t xml:space="preserve"> </w:t>
      </w:r>
      <w:r>
        <w:t xml:space="preserve">[Financial Analyst Name], Senior Financial Analyst, Qatar Doha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&amp; Financial Analysis Report</dc:title>
  <dc:creator/>
  <dc:language>en</dc:language>
  <cp:keywords/>
  <dcterms:created xsi:type="dcterms:W3CDTF">2026-07-21T06:39:32Z</dcterms:created>
  <dcterms:modified xsi:type="dcterms:W3CDTF">2026-07-21T06:39:32Z</dcterms:modified>
</cp:coreProperties>
</file>

<file path=docProps/custom.xml><?xml version="1.0" encoding="utf-8"?>
<Properties xmlns="http://schemas.openxmlformats.org/officeDocument/2006/custom-properties" xmlns:vt="http://schemas.openxmlformats.org/officeDocument/2006/docPropsVTypes"/>
</file>