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p>
    <w:bookmarkStart w:id="26" w:name="X3e31fe35950bcdd1431266e2b2953902d17f5f5"/>
    <w:p>
      <w:pPr>
        <w:pStyle w:val="Heading1"/>
      </w:pPr>
      <w:r>
        <w:t xml:space="preserve">Sales Report: Premium Financial Analyst Services in Russia Moscow Market</w:t>
      </w:r>
    </w:p>
    <w:bookmarkStart w:id="20" w:name="executive-summary"/>
    <w:p>
      <w:pPr>
        <w:pStyle w:val="Heading2"/>
      </w:pPr>
      <w:r>
        <w:t xml:space="preserve">Executive Summary</w:t>
      </w:r>
    </w:p>
    <w:p>
      <w:pPr>
        <w:pStyle w:val="FirstParagraph"/>
      </w:pPr>
      <w:r>
        <w:t xml:space="preserve">This Sales Report details the strategic performance and market dynamics of premium Financial Analyst services within the demanding landscape of Russia Moscow. As financial complexity intensifies amid global economic shifts, demand for specialized Financial Analyst expertise has surged across Russian corporations, investment firms, and state-owned enterprises headquartered in Moscow. The report confirms a 32% year-over-year growth in sales for our high-level Financial Analyst engagement model, directly attributable to localized market adaptation and strategic positioning within the Russia Moscow financial ecosystem. This document serves as both a performance assessment and a roadmap for sustaining leadership in this critical sector.</w:t>
      </w:r>
    </w:p>
    <w:bookmarkEnd w:id="20"/>
    <w:bookmarkStart w:id="21" w:name="X0be09da189f9b546058aad2156f1078cb904050"/>
    <w:p>
      <w:pPr>
        <w:pStyle w:val="Heading2"/>
      </w:pPr>
      <w:r>
        <w:t xml:space="preserve">Market Analysis: Russia Moscow Economic Context</w:t>
      </w:r>
    </w:p>
    <w:p>
      <w:pPr>
        <w:pStyle w:val="FirstParagraph"/>
      </w:pPr>
      <w:r>
        <w:t xml:space="preserve">The Russia Moscow financial market has undergone significant transformation since 2021, characterized by unprecedented volatility due to geopolitical events and international sanctions. Despite these challenges, the Moscow Financial District remains the undisputed epicenter of Russian finance, hosting headquarters for Sberbank, Gazprombank, VTB Capital, and numerous major energy and industrial conglomerates. Our Sales Report indicates that 87% of Fortune 500 Russian companies operating in Moscow have elevated their investment in sophisticated Financial Analyst services to navigate currency fluctuations (RUB/USD), supply chain disruptions, and evolving Central Bank of Russia (CBR) regulatory requirements.</w:t>
      </w:r>
    </w:p>
    <w:p>
      <w:pPr>
        <w:pStyle w:val="BodyText"/>
      </w:pPr>
      <w:r>
        <w:t xml:space="preserve">Key market differentiators include:</w:t>
      </w:r>
    </w:p>
    <w:p>
      <w:pPr>
        <w:numPr>
          <w:ilvl w:val="0"/>
          <w:numId w:val="1001"/>
        </w:numPr>
        <w:pStyle w:val="Compact"/>
      </w:pPr>
      <w:r>
        <w:rPr>
          <w:bCs/>
          <w:b/>
        </w:rPr>
        <w:t xml:space="preserve">Commodity-Driven Volatility:</w:t>
      </w:r>
      <w:r>
        <w:t xml:space="preserve"> </w:t>
      </w:r>
      <w:r>
        <w:t xml:space="preserve">Moscow-based firms require Financial Analysts who understand oil/gas pricing mechanics and their ripple effects on Russian corporate balance sheets.</w:t>
      </w:r>
    </w:p>
    <w:p>
      <w:pPr>
        <w:numPr>
          <w:ilvl w:val="0"/>
          <w:numId w:val="1001"/>
        </w:numPr>
        <w:pStyle w:val="Compact"/>
      </w:pPr>
      <w:r>
        <w:rPr>
          <w:bCs/>
          <w:b/>
        </w:rPr>
        <w:t xml:space="preserve">Sanctions Adaptation:</w:t>
      </w:r>
      <w:r>
        <w:t xml:space="preserve"> </w:t>
      </w:r>
      <w:r>
        <w:t xml:space="preserve">74% of target clients explicitly seek Financial Analysts capable of designing compliance frameworks within new financial restrictions.</w:t>
      </w:r>
    </w:p>
    <w:p>
      <w:pPr>
        <w:numPr>
          <w:ilvl w:val="0"/>
          <w:numId w:val="1001"/>
        </w:numPr>
        <w:pStyle w:val="Compact"/>
      </w:pPr>
      <w:r>
        <w:rPr>
          <w:bCs/>
          <w:b/>
        </w:rPr>
        <w:t xml:space="preserve">Local Market Expertise:</w:t>
      </w:r>
      <w:r>
        <w:t xml:space="preserve"> </w:t>
      </w:r>
      <w:r>
        <w:t xml:space="preserve">Russian institutions prioritize analysts with deep knowledge of Moscow's tax code, CBR reporting standards (e.g., Form 11.02), and domestic capital markets (MOEX).</w:t>
      </w:r>
    </w:p>
    <w:bookmarkEnd w:id="21"/>
    <w:bookmarkStart w:id="22" w:name="X08b10f40fb5d6d72ed0734c0f9f8e28f1560f5d"/>
    <w:p>
      <w:pPr>
        <w:pStyle w:val="Heading2"/>
      </w:pPr>
      <w:r>
        <w:t xml:space="preserve">Service Performance: Financial Analyst Sales Metrics</w:t>
      </w:r>
    </w:p>
    <w:p>
      <w:pPr>
        <w:pStyle w:val="FirstParagraph"/>
      </w:pPr>
      <w:r>
        <w:t xml:space="preserve">This quarter, our Financial Analyst service package achieved a record-breaking $4.7M in revenue from Russia Moscow clients, representing 39% of total global sales. The success stems from three core offerings tailored to local needs:</w:t>
      </w:r>
    </w:p>
    <w:p>
      <w:pPr>
        <w:numPr>
          <w:ilvl w:val="0"/>
          <w:numId w:val="1002"/>
        </w:numPr>
        <w:pStyle w:val="Compact"/>
      </w:pPr>
      <w:r>
        <w:rPr>
          <w:bCs/>
          <w:b/>
        </w:rPr>
        <w:t xml:space="preserve">Sanctions-Evasion Risk Assessment:</w:t>
      </w:r>
      <w:r>
        <w:t xml:space="preserve"> </w:t>
      </w:r>
      <w:r>
        <w:t xml:space="preserve">A dedicated Financial Analyst module developed for Moscow-based entities, analyzing alternative payment corridors (e.g., SWIFT alternatives) and counterparty risk exposure. Generated $1.8M in sales.</w:t>
      </w:r>
    </w:p>
    <w:p>
      <w:pPr>
        <w:numPr>
          <w:ilvl w:val="0"/>
          <w:numId w:val="1002"/>
        </w:numPr>
        <w:pStyle w:val="Compact"/>
      </w:pPr>
      <w:r>
        <w:rPr>
          <w:bCs/>
          <w:b/>
        </w:rPr>
        <w:t xml:space="preserve">RUB Liquidity Optimization:</w:t>
      </w:r>
      <w:r>
        <w:t xml:space="preserve"> </w:t>
      </w:r>
      <w:r>
        <w:t xml:space="preserve">Custom analytics for Russian corporates managing RUB-denominated cash flow amid currency volatility. Contributed $2.1M to quarterly revenue.</w:t>
      </w:r>
    </w:p>
    <w:p>
      <w:pPr>
        <w:numPr>
          <w:ilvl w:val="0"/>
          <w:numId w:val="1002"/>
        </w:numPr>
        <w:pStyle w:val="Compact"/>
      </w:pPr>
      <w:r>
        <w:rPr>
          <w:bCs/>
          <w:b/>
        </w:rPr>
        <w:t xml:space="preserve">CBR Regulatory Compliance Dashboard:</w:t>
      </w:r>
      <w:r>
        <w:t xml:space="preserve"> </w:t>
      </w:r>
      <w:r>
        <w:t xml:space="preserve">Real-time monitoring tool tracking evolving Central Bank reporting mandates, adopted by 12 major Moscow banks. Accounted for $0.8M in sales.</w:t>
      </w:r>
    </w:p>
    <w:p>
      <w:pPr>
        <w:pStyle w:val="FirstParagraph"/>
      </w:pPr>
      <w:r>
        <w:t xml:space="preserve">Our Financial Analyst team's average retention rate in Russia Moscow reached 92%, significantly outperforming the industry benchmark of 76%. This is directly linked to our localized approach: all analysts assigned to Moscow clients undergo mandatory training on Russian financial regulations and cultural business protocols. Sales cycles averaged 45 days—18 days faster than global averages—due to pre-validated understanding of Russia Moscow market pain points.</w:t>
      </w:r>
    </w:p>
    <w:bookmarkEnd w:id="22"/>
    <w:bookmarkStart w:id="23" w:name="X69e2b3a2c25f3e0cf9740244c23cf9b9fa6f1c9"/>
    <w:p>
      <w:pPr>
        <w:pStyle w:val="Heading2"/>
      </w:pPr>
      <w:r>
        <w:t xml:space="preserve">Competitive Positioning in the Russia Moscow Landscape</w:t>
      </w:r>
    </w:p>
    <w:p>
      <w:pPr>
        <w:pStyle w:val="FirstParagraph"/>
      </w:pPr>
      <w:r>
        <w:t xml:space="preserve">The Financial Analyst services market in Russia Moscow is highly competitive, with firms like Deloitte Moscow, EY CIS, and local players such as FinExpert offering similar solutions. However, our Sales Report identifies a critical gap: most competitors lack deep operational knowledge of Russia's unique financial ecosystem post-2022 sanctions. Our Financial Analyst team differentiates through:</w:t>
      </w:r>
    </w:p>
    <w:p>
      <w:pPr>
        <w:numPr>
          <w:ilvl w:val="0"/>
          <w:numId w:val="1003"/>
        </w:numPr>
        <w:pStyle w:val="Compact"/>
      </w:pPr>
      <w:r>
        <w:rPr>
          <w:bCs/>
          <w:b/>
        </w:rPr>
        <w:t xml:space="preserve">Hyperlocal Data Partnerships:</w:t>
      </w:r>
      <w:r>
        <w:t xml:space="preserve"> </w:t>
      </w:r>
      <w:r>
        <w:t xml:space="preserve">Exclusive access to Moscow-based data providers (e.g., National Settlement Depository, Moex) unavailable to international firms.</w:t>
      </w:r>
    </w:p>
    <w:p>
      <w:pPr>
        <w:numPr>
          <w:ilvl w:val="0"/>
          <w:numId w:val="1003"/>
        </w:numPr>
        <w:pStyle w:val="Compact"/>
      </w:pPr>
      <w:r>
        <w:rPr>
          <w:bCs/>
          <w:b/>
        </w:rPr>
        <w:t xml:space="preserve">Russian-Language Analytics Delivery:</w:t>
      </w:r>
      <w:r>
        <w:t xml:space="preserve"> </w:t>
      </w:r>
      <w:r>
        <w:t xml:space="preserve">All reports and client presentations delivered in Russian with Moscow-specific terminology, eliminating communication friction.</w:t>
      </w:r>
    </w:p>
    <w:p>
      <w:pPr>
        <w:numPr>
          <w:ilvl w:val="0"/>
          <w:numId w:val="1003"/>
        </w:numPr>
        <w:pStyle w:val="Compact"/>
      </w:pPr>
      <w:r>
        <w:rPr>
          <w:bCs/>
          <w:b/>
        </w:rPr>
        <w:t xml:space="preserve">Crisis Response Protocol:</w:t>
      </w:r>
      <w:r>
        <w:t xml:space="preserve"> </w:t>
      </w:r>
      <w:r>
        <w:t xml:space="preserve">24/7 Financial Analyst support during market volatility windows (e.g., RUB plunges), a feature absent in most competitors' offerings.</w:t>
      </w:r>
    </w:p>
    <w:bookmarkEnd w:id="23"/>
    <w:bookmarkStart w:id="24" w:name="X44ded952f23f4a1bf2760cc025ce1dfe9bbb105"/>
    <w:p>
      <w:pPr>
        <w:pStyle w:val="Heading2"/>
      </w:pPr>
      <w:r>
        <w:t xml:space="preserve">Strategic Recommendations for Russia Moscow Growth</w:t>
      </w:r>
    </w:p>
    <w:p>
      <w:pPr>
        <w:pStyle w:val="FirstParagraph"/>
      </w:pPr>
      <w:r>
        <w:t xml:space="preserve">To sustain momentum in the Russia Moscow market, this Sales Report recommends:</w:t>
      </w:r>
    </w:p>
    <w:p>
      <w:pPr>
        <w:numPr>
          <w:ilvl w:val="0"/>
          <w:numId w:val="1004"/>
        </w:numPr>
        <w:pStyle w:val="Compact"/>
      </w:pPr>
      <w:r>
        <w:rPr>
          <w:bCs/>
          <w:b/>
        </w:rPr>
        <w:t xml:space="preserve">Expand Financial Analyst Team in Moscow:</w:t>
      </w:r>
      <w:r>
        <w:t xml:space="preserve"> </w:t>
      </w:r>
      <w:r>
        <w:t xml:space="preserve">Hire 5 additional analysts with CBR licensing and experience at major Russian banks (e.g., Sberbank, VTB) by Q2 2024. This will address current capacity constraints in serving large-scale clients.</w:t>
      </w:r>
    </w:p>
    <w:p>
      <w:pPr>
        <w:numPr>
          <w:ilvl w:val="0"/>
          <w:numId w:val="1004"/>
        </w:numPr>
        <w:pStyle w:val="Compact"/>
      </w:pPr>
      <w:r>
        <w:rPr>
          <w:bCs/>
          <w:b/>
        </w:rPr>
        <w:t xml:space="preserve">Develop Moscow-Specific Regulatory Tracker:</w:t>
      </w:r>
      <w:r>
        <w:t xml:space="preserve"> </w:t>
      </w:r>
      <w:r>
        <w:t xml:space="preserve">Create a dedicated Financial Analyst product monitoring CBR updates in real-time, directly linked to client compliance needs.</w:t>
      </w:r>
    </w:p>
    <w:p>
      <w:pPr>
        <w:numPr>
          <w:ilvl w:val="0"/>
          <w:numId w:val="1004"/>
        </w:numPr>
        <w:pStyle w:val="Compact"/>
      </w:pPr>
      <w:r>
        <w:rPr>
          <w:bCs/>
          <w:b/>
        </w:rPr>
        <w:t xml:space="preserve">Cultivate State-Owned Enterprise (SOE) Partnerships:</w:t>
      </w:r>
      <w:r>
        <w:t xml:space="preserve"> </w:t>
      </w:r>
      <w:r>
        <w:t xml:space="preserve">Target Gazprom, Rosneft, and Rostec with tailored Financial Analyst packages addressing sovereign wealth fund requirements. These accounts represent 28% of untapped potential in Russia Moscow.</w:t>
      </w:r>
    </w:p>
    <w:bookmarkEnd w:id="24"/>
    <w:bookmarkStart w:id="25" w:name="X095c16c4aaac2abb2e12cb7720f99c751472f9e"/>
    <w:p>
      <w:pPr>
        <w:pStyle w:val="Heading2"/>
      </w:pPr>
      <w:r>
        <w:t xml:space="preserve">Conclusion: The Future of Financial Analyst Services in Russia Moscow</w:t>
      </w:r>
    </w:p>
    <w:p>
      <w:pPr>
        <w:pStyle w:val="FirstParagraph"/>
      </w:pPr>
      <w:r>
        <w:t xml:space="preserve">The Sales Report underscores that the demand for specialized Financial Analyst services within Russia Moscow is not merely resilient—it is accelerating. As corporate entities navigate a new financial reality defined by sanctions, RUB volatility, and localized regulatory complexity, their need for actionable insights from analysts who understand this ecosystem has become non-negotiable. Our performance data confirms that firms prioritizing Moscow-focused Financial Analyst capabilities achieve superior strategic outcomes and revenue stability.</w:t>
      </w:r>
    </w:p>
    <w:p>
      <w:pPr>
        <w:pStyle w:val="BodyText"/>
      </w:pPr>
      <w:r>
        <w:t xml:space="preserve">For the Russia Moscow market specifically, the next 18 months will define winners in financial analytics. The Financial Analyst service must evolve beyond traditional reporting to become a proactive business partner—anticipating regulatory shifts, optimizing RUB liquidity strategies, and enabling risk-aware decision-making within Russia's unique economic context. This Sales Report concludes that our current trajectory positions us not just as a service provider, but as the indispensable Financial Analyst partner for Russian enterprises operating from Moscow. The competitive edge is clear: local expertise delivered by analysts who speak the market's language, understand its constraints, and drive measurable results in the heart of Russia's financial engine.</w:t>
      </w:r>
    </w:p>
    <w:p>
      <w:pPr>
        <w:pStyle w:val="BodyText"/>
      </w:pPr>
      <w:r>
        <w:rPr>
          <w:bCs/>
          <w:b/>
        </w:rPr>
        <w:t xml:space="preserve">Prepared For:</w:t>
      </w:r>
      <w:r>
        <w:t xml:space="preserve"> </w:t>
      </w:r>
      <w:r>
        <w:t xml:space="preserve">Global Executive Leadership &amp; Russia Moscow Strategic Operations Team</w:t>
      </w:r>
      <w:r>
        <w:br/>
      </w:r>
      <w:r>
        <w:rPr>
          <w:bCs/>
          <w:b/>
        </w:rPr>
        <w:t xml:space="preserve">Date:</w:t>
      </w:r>
      <w:r>
        <w:t xml:space="preserve"> </w:t>
      </w:r>
      <w:r>
        <w:t xml:space="preserve">October 26, 2023</w:t>
      </w:r>
      <w:r>
        <w:br/>
      </w: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Report: Russia Moscow Market</dc:title>
  <dc:creator/>
  <dc:language>en</dc:language>
  <cp:keywords/>
  <dcterms:created xsi:type="dcterms:W3CDTF">2026-07-23T15:57:11Z</dcterms:created>
  <dcterms:modified xsi:type="dcterms:W3CDTF">2026-07-23T15:57:11Z</dcterms:modified>
</cp:coreProperties>
</file>

<file path=docProps/custom.xml><?xml version="1.0" encoding="utf-8"?>
<Properties xmlns="http://schemas.openxmlformats.org/officeDocument/2006/custom-properties" xmlns:vt="http://schemas.openxmlformats.org/officeDocument/2006/docPropsVTypes"/>
</file>