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Market</w:t>
      </w:r>
    </w:p>
    <w:bookmarkStart w:id="27" w:name="X7eb64fda950291d4b6846ec134c7f186ef9dcba"/>
    <w:p>
      <w:pPr>
        <w:pStyle w:val="Heading1"/>
      </w:pPr>
      <w:r>
        <w:t xml:space="preserve">Sales Report: Strategic Financial Analyst Solutions for the Saint Petersburg Business Landscape, Russia</w:t>
      </w:r>
    </w:p>
    <w:bookmarkStart w:id="20" w:name="executive-summary"/>
    <w:p>
      <w:pPr>
        <w:pStyle w:val="Heading2"/>
      </w:pPr>
      <w:r>
        <w:t xml:space="preserve">Executive Summary</w:t>
      </w:r>
    </w:p>
    <w:p>
      <w:pPr>
        <w:pStyle w:val="FirstParagraph"/>
      </w:pPr>
      <w:r>
        <w:t xml:space="preserve">This Sales Report details the performance and strategic outlook for our premium Financial Analyst service delivery within Russia's Saint Petersburg market. Covering Q3 2024, the report confirms a 34% year-over-year increase in sales revenue, driven by heightened demand for data-driven financial decision-making amid Russia's evolving economic landscape. The Saint Petersburg region remains our most promising territory outside Moscow, accounting for 28% of our total national Financial Analyst service contracts. This document outlines market dynamics, client success metrics, and actionable strategies to capitalize on the unique opportunities within this critical Russian business hub.</w:t>
      </w:r>
    </w:p>
    <w:bookmarkEnd w:id="20"/>
    <w:bookmarkStart w:id="21" w:name="X0e3dd147fe571e238e19e87d2e7ae3765e53a9f"/>
    <w:p>
      <w:pPr>
        <w:pStyle w:val="Heading2"/>
      </w:pPr>
      <w:r>
        <w:t xml:space="preserve">Market Analysis: Saint Petersburg as a Financial Nexus in Russia</w:t>
      </w:r>
    </w:p>
    <w:p>
      <w:pPr>
        <w:pStyle w:val="FirstParagraph"/>
      </w:pPr>
      <w:r>
        <w:t xml:space="preserve">Saint Petersburg's strategic position as Russia's second-largest economic center (accounting for 12.7% of national GDP) creates an unparalleled demand environment for sophisticated Financial Analysts. Following the city's transition from traditional manufacturing to a diversified finance-tech ecosystem, local enterprises face intensified pressure to optimize capital allocation amid currency volatility and complex regulatory shifts. Key drivers include:</w:t>
      </w:r>
    </w:p>
    <w:p>
      <w:pPr>
        <w:numPr>
          <w:ilvl w:val="0"/>
          <w:numId w:val="1001"/>
        </w:numPr>
        <w:pStyle w:val="Compact"/>
      </w:pPr>
      <w:r>
        <w:rPr>
          <w:bCs/>
          <w:b/>
        </w:rPr>
        <w:t xml:space="preserve">Banking &amp; Finance Hub Growth:</w:t>
      </w:r>
      <w:r>
        <w:t xml:space="preserve"> </w:t>
      </w:r>
      <w:r>
        <w:t xml:space="preserve">The presence of Sberbank's regional headquarters, VTB Saint Petersburg, and 47+ foreign banking branches necessitates continuous financial modeling for risk mitigation.</w:t>
      </w:r>
    </w:p>
    <w:p>
      <w:pPr>
        <w:numPr>
          <w:ilvl w:val="0"/>
          <w:numId w:val="1001"/>
        </w:numPr>
        <w:pStyle w:val="Compact"/>
      </w:pPr>
      <w:r>
        <w:rPr>
          <w:bCs/>
          <w:b/>
        </w:rPr>
        <w:t xml:space="preserve">Economic Diversification:</w:t>
      </w:r>
      <w:r>
        <w:t xml:space="preserve"> </w:t>
      </w:r>
      <w:r>
        <w:t xml:space="preserve">Post-sanctions adaptation has accelerated digital transformation in sectors like Petrochemicals (Lukoil), Logistics (St. Petersburg International Airport), and Fintech (Kuna, Yandex.Finances).</w:t>
      </w:r>
    </w:p>
    <w:p>
      <w:pPr>
        <w:numPr>
          <w:ilvl w:val="0"/>
          <w:numId w:val="1001"/>
        </w:numPr>
        <w:pStyle w:val="Compact"/>
      </w:pPr>
      <w:r>
        <w:rPr>
          <w:bCs/>
          <w:b/>
        </w:rPr>
        <w:t xml:space="preserve">Talent Demand Gap:</w:t>
      </w:r>
      <w:r>
        <w:t xml:space="preserve"> </w:t>
      </w:r>
      <w:r>
        <w:t xml:space="preserve">A 2024 Saint Petersburg Chamber of Commerce survey revealed 68% of companies struggle to find qualified Financial Analysts with Russian market expertise.</w:t>
      </w:r>
    </w:p>
    <w:bookmarkEnd w:id="21"/>
    <w:bookmarkStart w:id="22" w:name="X3549983ed745a6ab1780510d642ed60f1b3dca6"/>
    <w:p>
      <w:pPr>
        <w:pStyle w:val="Heading2"/>
      </w:pPr>
      <w:r>
        <w:t xml:space="preserve">Sales Performance: Quantifying Success in Russia's Second City</w:t>
      </w:r>
    </w:p>
    <w:p>
      <w:pPr>
        <w:pStyle w:val="FirstParagraph"/>
      </w:pPr>
      <w:r>
        <w:t xml:space="preserve">Our sales team achieved remarkable traction in Saint Petersburg during Q3 2024, securing:</w:t>
      </w:r>
    </w:p>
    <w:p>
      <w:pPr>
        <w:numPr>
          <w:ilvl w:val="0"/>
          <w:numId w:val="1002"/>
        </w:numPr>
        <w:pStyle w:val="Compact"/>
      </w:pPr>
      <w:r>
        <w:rPr>
          <w:bCs/>
          <w:b/>
        </w:rPr>
        <w:t xml:space="preserve">17 New Enterprise Contracts:</w:t>
      </w:r>
      <w:r>
        <w:t xml:space="preserve"> </w:t>
      </w:r>
      <w:r>
        <w:t xml:space="preserve">Including major accounts like Baltika Breweries (financial restructuring), Norilsk Nickel Saint Petersburg Operations (commodity risk analysis), and Kaspersky Lab's strategic finance division.</w:t>
      </w:r>
    </w:p>
    <w:p>
      <w:pPr>
        <w:numPr>
          <w:ilvl w:val="0"/>
          <w:numId w:val="1002"/>
        </w:numPr>
        <w:pStyle w:val="Compact"/>
      </w:pPr>
      <w:r>
        <w:rPr>
          <w:bCs/>
          <w:b/>
        </w:rPr>
        <w:t xml:space="preserve">Revenue Growth:</w:t>
      </w:r>
      <w:r>
        <w:t xml:space="preserve"> </w:t>
      </w:r>
      <w:r>
        <w:t xml:space="preserve">$1.82M in sales (34% YoY increase), representing 28% of our total Russian revenue. Average contract value rose to $107,000 from $95,000.</w:t>
      </w:r>
    </w:p>
    <w:p>
      <w:pPr>
        <w:numPr>
          <w:ilvl w:val="0"/>
          <w:numId w:val="1002"/>
        </w:numPr>
        <w:pStyle w:val="Compact"/>
      </w:pPr>
      <w:r>
        <w:rPr>
          <w:bCs/>
          <w:b/>
        </w:rPr>
        <w:t xml:space="preserve">Client Retention:</w:t>
      </w:r>
      <w:r>
        <w:t xml:space="preserve"> </w:t>
      </w:r>
      <w:r>
        <w:t xml:space="preserve">92% renewal rate for existing Saint Petersburg clients – significantly above the national average of 84%, reflecting service quality.</w:t>
      </w:r>
    </w:p>
    <w:p>
      <w:pPr>
        <w:pStyle w:val="FirstParagraph"/>
      </w:pPr>
      <w:r>
        <w:t xml:space="preserve">Key sales metrics demonstrating market penetration include:</w:t>
      </w:r>
    </w:p>
    <w:p>
      <w:pPr>
        <w:pStyle w:val="BodyText"/>
      </w:pPr>
      <w:r>
        <w:t xml:space="preserve">Sales Channel</w:t>
      </w:r>
    </w:p>
    <w:p>
      <w:pPr>
        <w:pStyle w:val="BodyText"/>
      </w:pPr>
      <w:r>
        <w:t xml:space="preserve">Q3 2024 Contracts</w:t>
      </w:r>
    </w:p>
    <w:p>
      <w:pPr>
        <w:pStyle w:val="BodyText"/>
      </w:pPr>
      <w:r>
        <w:t xml:space="preserve">Yield vs. Target</w:t>
      </w:r>
    </w:p>
    <w:p>
      <w:pPr>
        <w:pStyle w:val="BodyText"/>
      </w:pPr>
      <w:r>
        <w:t xml:space="preserve">Direct Enterprise Sales (Saint Petersburg)</w:t>
      </w:r>
    </w:p>
    <w:p>
      <w:pPr>
        <w:pStyle w:val="BodyText"/>
      </w:pPr>
      <w:r>
        <w:t xml:space="preserve">11</w:t>
      </w:r>
    </w:p>
    <w:p>
      <w:pPr>
        <w:pStyle w:val="BodyText"/>
      </w:pPr>
      <w:r>
        <w:t xml:space="preserve">+32%</w:t>
      </w:r>
    </w:p>
    <w:p>
      <w:pPr>
        <w:pStyle w:val="BodyText"/>
      </w:pPr>
      <w:r>
        <w:t xml:space="preserve">Promotional Events (SPIEF 2024 Follow-up)</w:t>
      </w:r>
    </w:p>
    <w:p>
      <w:pPr>
        <w:pStyle w:val="BodyText"/>
      </w:pPr>
      <w:r>
        <w:t xml:space="preserve">5</w:t>
      </w:r>
    </w:p>
    <w:p>
      <w:pPr>
        <w:pStyle w:val="BodyText"/>
      </w:pPr>
      <w:r>
        <w:rPr>
          <w:iCs/>
          <w:i/>
          <w:bCs/>
          <w:b/>
        </w:rPr>
        <w:t xml:space="preserve">(+87% over forecast)</w:t>
      </w:r>
    </w:p>
    <w:p>
      <w:pPr>
        <w:pStyle w:val="BodyText"/>
      </w:pPr>
      <w:r>
        <w:t xml:space="preserve">Referral Partnerships (Local Consulting Firms)</w:t>
      </w:r>
    </w:p>
    <w:p>
      <w:pPr>
        <w:pStyle w:val="BodyText"/>
      </w:pPr>
      <w:r>
        <w:t xml:space="preserve">1</w:t>
      </w:r>
    </w:p>
    <w:p>
      <w:pPr>
        <w:pStyle w:val="BodyText"/>
      </w:pPr>
      <w:r>
        <w:t xml:space="preserve">-3%</w:t>
      </w:r>
    </w:p>
    <w:bookmarkEnd w:id="22"/>
    <w:bookmarkStart w:id="23" w:name="X1dd80e37d544a38eb258fd60c1be93f5b73623f"/>
    <w:p>
      <w:pPr>
        <w:pStyle w:val="Heading2"/>
      </w:pPr>
      <w:r>
        <w:t xml:space="preserve">Critical Client Success: Financial Analyst Impact in Saint Petersburg</w:t>
      </w:r>
    </w:p>
    <w:p>
      <w:pPr>
        <w:pStyle w:val="FirstParagraph"/>
      </w:pPr>
      <w:r>
        <w:t xml:space="preserve">A standout case involves Baltika Breweries, a Saint Petersburg-based FMCG leader. Following our deployment of 4 specialized Financial Analysts:</w:t>
      </w:r>
    </w:p>
    <w:p>
      <w:pPr>
        <w:numPr>
          <w:ilvl w:val="0"/>
          <w:numId w:val="1003"/>
        </w:numPr>
        <w:pStyle w:val="Compact"/>
      </w:pPr>
      <w:r>
        <w:t xml:space="preserve">Reduced cost-to-serve by 18% through supply chain financial modeling.</w:t>
      </w:r>
    </w:p>
    <w:p>
      <w:pPr>
        <w:numPr>
          <w:ilvl w:val="0"/>
          <w:numId w:val="1003"/>
        </w:numPr>
        <w:pStyle w:val="Compact"/>
      </w:pPr>
      <w:r>
        <w:t xml:space="preserve">Optimized working capital allocation across 3 regional distribution centers using real-time currency analytics.</w:t>
      </w:r>
    </w:p>
    <w:p>
      <w:pPr>
        <w:numPr>
          <w:ilvl w:val="0"/>
          <w:numId w:val="1003"/>
        </w:numPr>
        <w:pStyle w:val="Compact"/>
      </w:pPr>
      <w:r>
        <w:t xml:space="preserve">Enabled $2.3M in annual savings from revised debt structure – directly attributable to Financial Analyst insights during Russia's volatile ruble period (Q2 2024).</w:t>
      </w:r>
    </w:p>
    <w:p>
      <w:pPr>
        <w:pStyle w:val="FirstParagraph"/>
      </w:pPr>
      <w:r>
        <w:t xml:space="preserve">Baltika's CFO noted: "In Saint Petersburg's competitive market, our Financial Analysts provided the granular data we needed to navigate sanctions-related supply chain disruptions. This isn't just reporting – it's strategic asset optimization."</w:t>
      </w:r>
    </w:p>
    <w:bookmarkEnd w:id="23"/>
    <w:bookmarkStart w:id="24" w:name="Xb15f89aef15390dc07ef93371a1892baebce21f"/>
    <w:p>
      <w:pPr>
        <w:pStyle w:val="Heading2"/>
      </w:pPr>
      <w:r>
        <w:t xml:space="preserve">Addressing Saint Petersburg-Specific Challenges</w:t>
      </w:r>
    </w:p>
    <w:p>
      <w:pPr>
        <w:pStyle w:val="FirstParagraph"/>
      </w:pPr>
      <w:r>
        <w:t xml:space="preserve">Our sales strategy directly counteracts local barriers:</w:t>
      </w:r>
    </w:p>
    <w:p>
      <w:pPr>
        <w:numPr>
          <w:ilvl w:val="0"/>
          <w:numId w:val="1004"/>
        </w:numPr>
        <w:pStyle w:val="Compact"/>
      </w:pPr>
      <w:r>
        <w:rPr>
          <w:bCs/>
          <w:b/>
        </w:rPr>
        <w:t xml:space="preserve">Regulatory Navigation:</w:t>
      </w:r>
      <w:r>
        <w:t xml:space="preserve"> </w:t>
      </w:r>
      <w:r>
        <w:t xml:space="preserve">All Financial Analysts undergo mandatory certification in Russian Accounting Standards (RAS) and Federal Tax Service compliance – a non-negotiable requirement for Saint Petersburg clients.</w:t>
      </w:r>
    </w:p>
    <w:p>
      <w:pPr>
        <w:numPr>
          <w:ilvl w:val="0"/>
          <w:numId w:val="1004"/>
        </w:numPr>
        <w:pStyle w:val="Compact"/>
      </w:pPr>
      <w:r>
        <w:rPr>
          <w:bCs/>
          <w:b/>
        </w:rPr>
        <w:t xml:space="preserve">Cultural Alignment:</w:t>
      </w:r>
      <w:r>
        <w:t xml:space="preserve"> </w:t>
      </w:r>
      <w:r>
        <w:t xml:space="preserve">100% of our Saint Petersburg-based sales team speaks fluent Russian and understands local business etiquette, including the importance of "druzhba" (trust-building) in negotiations.</w:t>
      </w:r>
    </w:p>
    <w:p>
      <w:pPr>
        <w:numPr>
          <w:ilvl w:val="0"/>
          <w:numId w:val="1004"/>
        </w:numPr>
        <w:pStyle w:val="Compact"/>
      </w:pPr>
      <w:r>
        <w:rPr>
          <w:bCs/>
          <w:b/>
        </w:rPr>
        <w:t xml:space="preserve">Talent Localization:</w:t>
      </w:r>
      <w:r>
        <w:t xml:space="preserve"> </w:t>
      </w:r>
      <w:r>
        <w:t xml:space="preserve">We partner with St. Petersburg State University's Finance Department to source and train local Financial Analysts, addressing the regional talent shortage while building community goodwill.</w:t>
      </w:r>
    </w:p>
    <w:bookmarkEnd w:id="24"/>
    <w:bookmarkStart w:id="25" w:name="Xfd8ea815ec65e07e0ebce680f57a8505f9492ca"/>
    <w:p>
      <w:pPr>
        <w:pStyle w:val="Heading2"/>
      </w:pPr>
      <w:r>
        <w:t xml:space="preserve">Strategic Outlook &amp; Action Plan for Russia Saint Petersburg</w:t>
      </w:r>
    </w:p>
    <w:p>
      <w:pPr>
        <w:pStyle w:val="FirstParagraph"/>
      </w:pPr>
      <w:r>
        <w:t xml:space="preserve">The Saint Petersburg market presents a $45.7M opportunity for Financial Analyst services by 2025 (per Deloitte Russia). Our Q4 2024 action plan focuses on:</w:t>
      </w:r>
    </w:p>
    <w:p>
      <w:pPr>
        <w:numPr>
          <w:ilvl w:val="0"/>
          <w:numId w:val="1005"/>
        </w:numPr>
        <w:pStyle w:val="Compact"/>
      </w:pPr>
      <w:r>
        <w:rPr>
          <w:bCs/>
          <w:b/>
        </w:rPr>
        <w:t xml:space="preserve">Hyper-Localization:</w:t>
      </w:r>
      <w:r>
        <w:t xml:space="preserve"> </w:t>
      </w:r>
      <w:r>
        <w:t xml:space="preserve">Develop sector-specific Financial Analyst packages for Saint Petersburg's key industries: Logistics (Port of Saint Petersburg), Energy, and IT/Software.</w:t>
      </w:r>
    </w:p>
    <w:p>
      <w:pPr>
        <w:numPr>
          <w:ilvl w:val="0"/>
          <w:numId w:val="1005"/>
        </w:numPr>
        <w:pStyle w:val="Compact"/>
      </w:pPr>
      <w:r>
        <w:rPr>
          <w:bCs/>
          <w:b/>
        </w:rPr>
        <w:t xml:space="preserve">SPIEF Integration:</w:t>
      </w:r>
      <w:r>
        <w:t xml:space="preserve"> </w:t>
      </w:r>
      <w:r>
        <w:t xml:space="preserve">Secure 5+ speaking engagements at the upcoming St. Petersburg International Economic Forum to position our Financial Analyst solutions as essential for Russian business resilience.</w:t>
      </w:r>
    </w:p>
    <w:p>
      <w:pPr>
        <w:numPr>
          <w:ilvl w:val="0"/>
          <w:numId w:val="1005"/>
        </w:numPr>
        <w:pStyle w:val="Compact"/>
      </w:pPr>
      <w:r>
        <w:rPr>
          <w:bCs/>
          <w:b/>
        </w:rPr>
        <w:t xml:space="preserve">Tech Enhancement:</w:t>
      </w:r>
      <w:r>
        <w:t xml:space="preserve"> </w:t>
      </w:r>
      <w:r>
        <w:t xml:space="preserve">Deploy a Saint Petersburg-specific dashboard integrating real-time data from the Central Bank of Russia and Baltic Sea trade indices – directly addressing client pain points identified in our regional sales surveys.</w:t>
      </w:r>
    </w:p>
    <w:bookmarkEnd w:id="25"/>
    <w:bookmarkStart w:id="26" w:name="conclusion"/>
    <w:p>
      <w:pPr>
        <w:pStyle w:val="Heading2"/>
      </w:pPr>
      <w:r>
        <w:t xml:space="preserve">Conclusion</w:t>
      </w:r>
    </w:p>
    <w:p>
      <w:pPr>
        <w:pStyle w:val="FirstParagraph"/>
      </w:pPr>
      <w:r>
        <w:t xml:space="preserve">The Saint Petersburg market has unequivocally cemented itself as a cornerstone for Financial Analyst services in Russia. Our Q3 2024 results demonstrate that when Sales Reports are tailored to local economic realities and delivered through culturally attuned Financial Analyst solutions, they drive measurable revenue growth. As Russia's second-largest city continues its transformation into a finance-tech epicenter, the demand for specialized Financial Analysts will only intensify – making Saint Petersburg a strategic priority for all serious players in the Russian financial services market. We project 40%+ sales growth in this region by Q2 2025, positioning us to capture significant market share through our data-driven Sales Report framework and localized Financial Analyst expertise.</w:t>
      </w:r>
    </w:p>
    <w:p>
      <w:pPr>
        <w:pStyle w:val="BodyText"/>
      </w:pPr>
      <w:r>
        <w:rPr>
          <w:iCs/>
          <w:i/>
        </w:rPr>
        <w:t xml:space="preserve">Prepared for St. Petersburg Regional Leadership Team | September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Services in Saint Petersburg Market</dc:title>
  <dc:creator/>
  <dc:language>en</dc:language>
  <cp:keywords/>
  <dcterms:created xsi:type="dcterms:W3CDTF">2026-07-24T08:52:10Z</dcterms:created>
  <dcterms:modified xsi:type="dcterms:W3CDTF">2026-07-24T08:52:10Z</dcterms:modified>
</cp:coreProperties>
</file>

<file path=docProps/custom.xml><?xml version="1.0" encoding="utf-8"?>
<Properties xmlns="http://schemas.openxmlformats.org/officeDocument/2006/custom-properties" xmlns:vt="http://schemas.openxmlformats.org/officeDocument/2006/docPropsVTypes"/>
</file>