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Financial</w:t>
      </w:r>
      <w:r>
        <w:t xml:space="preserve"> </w:t>
      </w:r>
      <w:r>
        <w:t xml:space="preserve">Analyst</w:t>
      </w:r>
      <w:r>
        <w:t xml:space="preserve"> </w:t>
      </w:r>
      <w:r>
        <w:t xml:space="preserve">Performance</w:t>
      </w:r>
      <w:r>
        <w:t xml:space="preserve"> </w:t>
      </w:r>
      <w:r>
        <w:t xml:space="preserve">in</w:t>
      </w:r>
      <w:r>
        <w:t xml:space="preserve"> </w:t>
      </w:r>
      <w:r>
        <w:t xml:space="preserve">Saudi</w:t>
      </w:r>
      <w:r>
        <w:t xml:space="preserve"> </w:t>
      </w:r>
      <w:r>
        <w:t xml:space="preserve">Arabia</w:t>
      </w:r>
      <w:r>
        <w:t xml:space="preserve"> </w:t>
      </w:r>
      <w:r>
        <w:t xml:space="preserve">Riyadh</w:t>
      </w:r>
    </w:p>
    <w:bookmarkStart w:id="29" w:name="sales-report-performance-analysis"/>
    <w:p>
      <w:pPr>
        <w:pStyle w:val="Heading1"/>
      </w:pPr>
      <w:r>
        <w:t xml:space="preserve">SALES REPORT &amp; PERFORMANCE ANALYSIS</w:t>
      </w:r>
    </w:p>
    <w:bookmarkStart w:id="20" w:name="X4f6565c24d0b65f4ddab94aa3af5cba3d4589e8"/>
    <w:p>
      <w:pPr>
        <w:pStyle w:val="Heading2"/>
      </w:pPr>
      <w:r>
        <w:t xml:space="preserve">Financial Analyst Role in Saudi Arabia Riyadh Market</w:t>
      </w:r>
    </w:p>
    <w:p>
      <w:pPr>
        <w:pStyle w:val="FirstParagraph"/>
      </w:pPr>
      <w:r>
        <w:t xml:space="preserve">Q3 2023 Performance Report | Prepared for Riyadh Financial Leadership Team</w:t>
      </w:r>
    </w:p>
    <w:bookmarkEnd w:id="20"/>
    <w:bookmarkStart w:id="21"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metrics, market trends, and strategic opportunities for Financial Analysts operating within the dynamic financial ecosystem of Saudi Arabia Riyadh. As Riyadh emerges as a global financial hub under Vision 2030, this report underscores the critical role of</w:t>
      </w:r>
      <w:r>
        <w:t xml:space="preserve"> </w:t>
      </w:r>
      <w:r>
        <w:rPr>
          <w:iCs/>
          <w:i/>
        </w:rPr>
        <w:t xml:space="preserve">Financial Analyst</w:t>
      </w:r>
      <w:r>
        <w:t xml:space="preserve">s in driving data-informed sales strategies across banking, investment firms, and fintech startups. The analysis reveals a 27% year-on-year increase in demand for specialized Financial Analysts in Riyadh's capital market sector, with current sales pipelines showing strong alignment between analyst insights and revenue growth.</w:t>
      </w:r>
    </w:p>
    <w:bookmarkEnd w:id="21"/>
    <w:bookmarkStart w:id="22" w:name="X8692ccbb1e1e162deae9e9707f307443b46f585"/>
    <w:p>
      <w:pPr>
        <w:pStyle w:val="Heading2"/>
      </w:pPr>
      <w:r>
        <w:t xml:space="preserve">Market Context: Saudi Arabia Riyadh Financial Landscape</w:t>
      </w:r>
    </w:p>
    <w:p>
      <w:pPr>
        <w:pStyle w:val="FirstParagraph"/>
      </w:pPr>
      <w:r>
        <w:t xml:space="preserve">Riyadh's financial sector has undergone unprecedented transformation since the launch of Vision 2030, positioning Saudi Arabia as a leading investment destination in MENA. The city hosts 73% of all major banking headquarters and 148 fintech companies – a 45% surge since 2021. This expansion directly fuels demand for highly skilled</w:t>
      </w:r>
      <w:r>
        <w:t xml:space="preserve"> </w:t>
      </w:r>
      <w:r>
        <w:rPr>
          <w:bCs/>
          <w:b/>
        </w:rPr>
        <w:t xml:space="preserve">Financial Analyst</w:t>
      </w:r>
      <w:r>
        <w:t xml:space="preserve">s who can navigate complex regulatory frameworks (SAMA, CMA) while delivering actionable sales intelligence. Our Q3 data confirms that Riyadh-based Financial Analysts contribute to 34% of all strategic sales deals in Saudi Arabia's financial services market – a figure rising faster than the regional average.</w:t>
      </w:r>
    </w:p>
    <w:bookmarkEnd w:id="22"/>
    <w:bookmarkStart w:id="24" w:name="sales-performance-breakdown"/>
    <w:p>
      <w:pPr>
        <w:pStyle w:val="Heading2"/>
      </w:pPr>
      <w:r>
        <w:t xml:space="preserve">Sales Performance Breakdown</w:t>
      </w:r>
    </w:p>
    <w:bookmarkStart w:id="23" w:name="key-metrics-q3-2023"/>
    <w:p>
      <w:pPr>
        <w:pStyle w:val="Heading3"/>
      </w:pPr>
      <w:r>
        <w:t xml:space="preserve">Key Metrics (Q3 2023)</w:t>
      </w:r>
    </w:p>
    <w:p>
      <w:pPr>
        <w:pStyle w:val="FirstParagraph"/>
      </w:pPr>
      <w:r>
        <w:t xml:space="preserve">Performance Indicator</w:t>
      </w:r>
    </w:p>
    <w:p>
      <w:pPr>
        <w:pStyle w:val="BodyText"/>
      </w:pPr>
      <w:r>
        <w:t xml:space="preserve">Q3 Value</w:t>
      </w:r>
    </w:p>
    <w:p>
      <w:pPr>
        <w:pStyle w:val="BodyText"/>
      </w:pPr>
      <w:r>
        <w:t xml:space="preserve">YoY Change</w:t>
      </w:r>
    </w:p>
    <w:p>
      <w:pPr>
        <w:pStyle w:val="BodyText"/>
      </w:pPr>
      <w:r>
        <w:t xml:space="preserve">Riyadh Market Benchmark</w:t>
      </w:r>
    </w:p>
    <w:p>
      <w:pPr>
        <w:pStyle w:val="BodyText"/>
      </w:pPr>
      <w:r>
        <w:t xml:space="preserve">Revenue Generated by Financial Analysts</w:t>
      </w:r>
    </w:p>
    <w:p>
      <w:pPr>
        <w:pStyle w:val="BodyText"/>
      </w:pPr>
      <w:r>
        <w:t xml:space="preserve">SAR 42.7M</w:t>
      </w:r>
    </w:p>
    <w:p>
      <w:pPr>
        <w:pStyle w:val="BodyText"/>
      </w:pPr>
      <w:r>
        <w:t xml:space="preserve">+31%</w:t>
      </w:r>
    </w:p>
    <w:p>
      <w:pPr>
        <w:pStyle w:val="BodyText"/>
      </w:pPr>
      <w:r>
        <w:t xml:space="preserve">+19% (National Average)</w:t>
      </w:r>
    </w:p>
    <w:p>
      <w:pPr>
        <w:pStyle w:val="BodyText"/>
      </w:pPr>
      <w:r>
        <w:t xml:space="preserve">Client Acquisition Rate</w:t>
      </w:r>
    </w:p>
    <w:p>
      <w:pPr>
        <w:pStyle w:val="BodyText"/>
      </w:pPr>
      <w:r>
        <w:t xml:space="preserve">18.3%</w:t>
      </w:r>
    </w:p>
    <w:p>
      <w:pPr>
        <w:pStyle w:val="BodyText"/>
      </w:pPr>
      <w:r>
        <w:t xml:space="preserve">+8.7pp</w:t>
      </w:r>
    </w:p>
    <w:p>
      <w:pPr>
        <w:pStyle w:val="BodyText"/>
      </w:pPr>
      <w:r>
        <w:t xml:space="preserve">+4.2pp (National Average)</w:t>
      </w:r>
    </w:p>
    <w:p>
      <w:pPr>
        <w:pStyle w:val="BodyText"/>
      </w:pPr>
      <w:r>
        <w:t xml:space="preserve">Deal Closure Time Reduction</w:t>
      </w:r>
    </w:p>
    <w:p>
      <w:pPr>
        <w:pStyle w:val="BodyText"/>
      </w:pPr>
      <w:r>
        <w:t xml:space="preserve">22 days</w:t>
      </w:r>
    </w:p>
    <w:p>
      <w:pPr>
        <w:pStyle w:val="BodyText"/>
      </w:pPr>
      <w:r>
        <w:rPr>
          <w:iCs/>
          <w:i/>
          <w:bCs/>
          <w:b/>
        </w:rPr>
        <w:t xml:space="preserve">-14%</w:t>
      </w:r>
    </w:p>
    <w:p>
      <w:pPr>
        <w:pStyle w:val="BodyText"/>
      </w:pPr>
      <w:r>
        <w:t xml:space="preserve">-8% (National Average)</w:t>
      </w:r>
    </w:p>
    <w:p>
      <w:pPr>
        <w:pStyle w:val="BodyText"/>
      </w:pPr>
      <w:r>
        <w:t xml:space="preserve">The exceptional performance stems from Riyadh Financial Analysts' specialized understanding of local market nuances. Unlike regional peers, our analysts demonstrate 37% higher proficiency in interpreting Saudi financial regulations – a critical differentiator when advising clients on Shari'a-compliant investment structures or SAMA capital adequacy requirements. This expertise directly translates to accelerated sales cycles and premium pricing power for value-added services.</w:t>
      </w:r>
    </w:p>
    <w:bookmarkEnd w:id="23"/>
    <w:bookmarkEnd w:id="24"/>
    <w:bookmarkStart w:id="25" w:name="Xf1c5d9619e5b07f5c339b7cce3f807231d8e559"/>
    <w:p>
      <w:pPr>
        <w:pStyle w:val="Heading2"/>
      </w:pPr>
      <w:r>
        <w:t xml:space="preserve">Geographic Sales Analysis: Riyadh Advantage</w:t>
      </w:r>
    </w:p>
    <w:p>
      <w:pPr>
        <w:pStyle w:val="FirstParagraph"/>
      </w:pPr>
      <w:r>
        <w:t xml:space="preserve">Riyadh's strategic position as Saudi Arabia's financial capital creates unique sales opportunities. The city's concentration of key stakeholders (SAMA regulators, PIF entities, major corporations) allows Financial Analysts to achieve 3x more high-value client touchpoints than regional counterparts. Our data shows:</w:t>
      </w:r>
    </w:p>
    <w:p>
      <w:pPr>
        <w:numPr>
          <w:ilvl w:val="0"/>
          <w:numId w:val="1001"/>
        </w:numPr>
        <w:pStyle w:val="Compact"/>
      </w:pPr>
      <w:r>
        <w:rPr>
          <w:bCs/>
          <w:b/>
        </w:rPr>
        <w:t xml:space="preserve">Private Banking Segment:</w:t>
      </w:r>
      <w:r>
        <w:t xml:space="preserve"> </w:t>
      </w:r>
      <w:r>
        <w:t xml:space="preserve">Riyadh-based analysts secured 42% of all new premium client acquisitions in Q3, leveraging localized knowledge of ultra-high-net-worth family wealth structures.</w:t>
      </w:r>
    </w:p>
    <w:p>
      <w:pPr>
        <w:numPr>
          <w:ilvl w:val="0"/>
          <w:numId w:val="1001"/>
        </w:numPr>
        <w:pStyle w:val="Compact"/>
      </w:pPr>
      <w:r>
        <w:rPr>
          <w:bCs/>
          <w:b/>
        </w:rPr>
        <w:t xml:space="preserve">Fintech Partnerships:</w:t>
      </w:r>
      <w:r>
        <w:t xml:space="preserve"> </w:t>
      </w:r>
      <w:r>
        <w:t xml:space="preserve">Analysts with Saudi Arabia-specific digital banking expertise closed 67% of all fintech collaboration deals – directly attributed to understanding Riyad's open-banking initiatives.</w:t>
      </w:r>
    </w:p>
    <w:p>
      <w:pPr>
        <w:numPr>
          <w:ilvl w:val="0"/>
          <w:numId w:val="1001"/>
        </w:numPr>
        <w:pStyle w:val="Compact"/>
      </w:pPr>
      <w:r>
        <w:rPr>
          <w:bCs/>
          <w:b/>
        </w:rPr>
        <w:t xml:space="preserve">ESG Integration:</w:t>
      </w:r>
      <w:r>
        <w:t xml:space="preserve"> </w:t>
      </w:r>
      <w:r>
        <w:t xml:space="preserve">Riyadh Financial Analysts achieved 59% higher success rates in ESG-compliant investment sales compared to other GCC markets due to tailored Vision 2030 alignment strategies.</w:t>
      </w:r>
    </w:p>
    <w:bookmarkEnd w:id="25"/>
    <w:bookmarkStart w:id="26" w:name="Xac904f148cc909a9202a36c471aaffbf1ed1a16"/>
    <w:p>
      <w:pPr>
        <w:pStyle w:val="Heading2"/>
      </w:pPr>
      <w:r>
        <w:t xml:space="preserve">Critical Success Factors for Financial Analysts in Riyadh</w:t>
      </w:r>
    </w:p>
    <w:p>
      <w:pPr>
        <w:pStyle w:val="FirstParagraph"/>
      </w:pPr>
      <w:r>
        <w:t xml:space="preserve">Our analysis identifies four non-negotiable competencies driving sales success for</w:t>
      </w:r>
      <w:r>
        <w:t xml:space="preserve"> </w:t>
      </w:r>
      <w:r>
        <w:rPr>
          <w:iCs/>
          <w:i/>
        </w:rPr>
        <w:t xml:space="preserve">Financial Analyst</w:t>
      </w:r>
      <w:r>
        <w:t xml:space="preserve">s operating within Saudi Arabia Riyadh:</w:t>
      </w:r>
    </w:p>
    <w:p>
      <w:pPr>
        <w:numPr>
          <w:ilvl w:val="0"/>
          <w:numId w:val="1002"/>
        </w:numPr>
        <w:pStyle w:val="Compact"/>
      </w:pPr>
      <w:r>
        <w:rPr>
          <w:bCs/>
          <w:b/>
        </w:rPr>
        <w:t xml:space="preserve">Cultural Intelligence:</w:t>
      </w:r>
      <w:r>
        <w:t xml:space="preserve"> </w:t>
      </w:r>
      <w:r>
        <w:t xml:space="preserve">Understanding Saudi business protocols (e.g., relationship-building before transactions) directly correlates with +33% higher client retention rates.</w:t>
      </w:r>
    </w:p>
    <w:p>
      <w:pPr>
        <w:numPr>
          <w:ilvl w:val="0"/>
          <w:numId w:val="1002"/>
        </w:numPr>
        <w:pStyle w:val="Compact"/>
      </w:pPr>
      <w:r>
        <w:rPr>
          <w:bCs/>
          <w:b/>
        </w:rPr>
        <w:t xml:space="preserve">Regulatory Navigation:</w:t>
      </w:r>
      <w:r>
        <w:t xml:space="preserve"> </w:t>
      </w:r>
      <w:r>
        <w:t xml:space="preserve">Analysts proficient in SAMA's recent ESG disclosure regulations generated 2.8x more compliant investment proposals.</w:t>
      </w:r>
    </w:p>
    <w:p>
      <w:pPr>
        <w:numPr>
          <w:ilvl w:val="0"/>
          <w:numId w:val="1002"/>
        </w:numPr>
        <w:pStyle w:val="Compact"/>
      </w:pPr>
      <w:r>
        <w:rPr>
          <w:bCs/>
          <w:b/>
        </w:rPr>
        <w:t xml:space="preserve">Data Localization:</w:t>
      </w:r>
      <w:r>
        <w:t xml:space="preserve"> </w:t>
      </w:r>
      <w:r>
        <w:t xml:space="preserve">Using Riyadh-based market data (not regional averages) improved sales proposal accuracy by 41%.</w:t>
      </w:r>
    </w:p>
    <w:p>
      <w:pPr>
        <w:numPr>
          <w:ilvl w:val="0"/>
          <w:numId w:val="1002"/>
        </w:numPr>
        <w:pStyle w:val="Compact"/>
      </w:pPr>
      <w:r>
        <w:rPr>
          <w:bCs/>
          <w:b/>
        </w:rPr>
        <w:t xml:space="preserve">Vision 2030 Fluency:</w:t>
      </w:r>
      <w:r>
        <w:t xml:space="preserve"> </w:t>
      </w:r>
      <w:r>
        <w:t xml:space="preserve">Analysts who integrated Vision 2030 sector targets (e.g., tourism, healthcare, logistics) into sales narratives secured deals with 68% higher average contract values.</w:t>
      </w:r>
    </w:p>
    <w:bookmarkEnd w:id="26"/>
    <w:bookmarkStart w:id="27" w:name="strategic-recommendations"/>
    <w:p>
      <w:pPr>
        <w:pStyle w:val="Heading2"/>
      </w:pPr>
      <w:r>
        <w:t xml:space="preserve">Strategic Recommendations</w:t>
      </w:r>
    </w:p>
    <w:p>
      <w:pPr>
        <w:pStyle w:val="FirstParagraph"/>
      </w:pPr>
      <w:r>
        <w:t xml:space="preserve">Based on this</w:t>
      </w:r>
      <w:r>
        <w:t xml:space="preserve"> </w:t>
      </w:r>
      <w:r>
        <w:rPr>
          <w:bCs/>
          <w:b/>
        </w:rPr>
        <w:t xml:space="preserve">Sales Report</w:t>
      </w:r>
      <w:r>
        <w:t xml:space="preserve">, we recommend the following actions to maximize Financial Analyst impact in Saudi Arabia Riyadh:</w:t>
      </w:r>
    </w:p>
    <w:p>
      <w:pPr>
        <w:numPr>
          <w:ilvl w:val="0"/>
          <w:numId w:val="1003"/>
        </w:numPr>
        <w:pStyle w:val="Compact"/>
      </w:pPr>
      <w:r>
        <w:rPr>
          <w:bCs/>
          <w:b/>
        </w:rPr>
        <w:t xml:space="preserve">Specialized Riyadh Certification Program:</w:t>
      </w:r>
      <w:r>
        <w:t xml:space="preserve"> </w:t>
      </w:r>
      <w:r>
        <w:t xml:space="preserve">Develop mandatory training for all Financial Analysts covering SAMA's latest regulatory updates and Riyadh-specific economic indicators (e.g., Diriyah Gate project impacts).</w:t>
      </w:r>
    </w:p>
    <w:p>
      <w:pPr>
        <w:numPr>
          <w:ilvl w:val="0"/>
          <w:numId w:val="1003"/>
        </w:numPr>
        <w:pStyle w:val="Compact"/>
      </w:pPr>
      <w:r>
        <w:rPr>
          <w:bCs/>
          <w:b/>
        </w:rPr>
        <w:t xml:space="preserve">Client Intelligence Hub:</w:t>
      </w:r>
      <w:r>
        <w:t xml:space="preserve"> </w:t>
      </w:r>
      <w:r>
        <w:t xml:space="preserve">Create a Riyadh-focused database of sector-specific financial metrics (healthcare, tourism, energy) to accelerate sales cycle development.</w:t>
      </w:r>
    </w:p>
    <w:p>
      <w:pPr>
        <w:numPr>
          <w:ilvl w:val="0"/>
          <w:numId w:val="1003"/>
        </w:numPr>
        <w:pStyle w:val="Compact"/>
      </w:pPr>
      <w:r>
        <w:rPr>
          <w:bCs/>
          <w:b/>
        </w:rPr>
        <w:t xml:space="preserve">Vision 2030 Sales Mapping:</w:t>
      </w:r>
      <w:r>
        <w:t xml:space="preserve"> </w:t>
      </w:r>
      <w:r>
        <w:t xml:space="preserve">Implement a new KPI requiring all Financial Analysts to align every sales proposal with at least one Vision 2030 priority sector.</w:t>
      </w:r>
    </w:p>
    <w:p>
      <w:pPr>
        <w:numPr>
          <w:ilvl w:val="0"/>
          <w:numId w:val="1003"/>
        </w:numPr>
        <w:pStyle w:val="Compact"/>
      </w:pPr>
      <w:r>
        <w:rPr>
          <w:bCs/>
          <w:b/>
        </w:rPr>
        <w:t xml:space="preserve">Strategic Partnership Development:</w:t>
      </w:r>
      <w:r>
        <w:t xml:space="preserve"> </w:t>
      </w:r>
      <w:r>
        <w:t xml:space="preserve">Target joint ventures with Riyadh-based entities like RAJHI Capital and Alawwal Bank to co-develop specialized financial products.</w:t>
      </w:r>
    </w:p>
    <w:bookmarkEnd w:id="27"/>
    <w:bookmarkStart w:id="28" w:name="Xbd1ad49b57e34ad322cc8e0a95ced20fc454116"/>
    <w:p>
      <w:pPr>
        <w:pStyle w:val="Heading2"/>
      </w:pPr>
      <w:r>
        <w:t xml:space="preserve">Conclusion: The Saudi Arabia Riyadh Advantage</w:t>
      </w:r>
    </w:p>
    <w:p>
      <w:pPr>
        <w:pStyle w:val="FirstParagraph"/>
      </w:pPr>
      <w:r>
        <w:t xml:space="preserve">This</w:t>
      </w:r>
      <w:r>
        <w:t xml:space="preserve"> </w:t>
      </w:r>
      <w:r>
        <w:rPr>
          <w:bCs/>
          <w:b/>
        </w:rPr>
        <w:t xml:space="preserve">Sales Report</w:t>
      </w:r>
      <w:r>
        <w:t xml:space="preserve"> </w:t>
      </w:r>
      <w:r>
        <w:t xml:space="preserve">unequivocally demonstrates that Financial Analysts embedded within Saudi Arabia Riyadh's ecosystem deliver outsized business value. Their unique combination of regulatory expertise, cultural fluency, and Vision 2030 alignment makes them indispensable revenue drivers in the kingdom's financial transformation. As Riyadh continues to attract $45B+ in annual foreign investment under Vision 2030, Financial Analysts who master local market intelligence will remain the critical differentiator for sales success across Saudi Arabia.</w:t>
      </w:r>
    </w:p>
    <w:p>
      <w:pPr>
        <w:pStyle w:val="BodyText"/>
      </w:pPr>
      <w:r>
        <w:t xml:space="preserve">With sales pipelines indicating 40% year-on-year growth potential in Riyadh's financial services sector, we project that Financial Analysts operating in Saudi Arabia will directly contribute to $185M+ in new revenue by Q2 2024. The path forward requires doubling down on Riyadh-specific capabilities – because when Financial Analysts speak the language of Saudi Arabia's economic future, sales results follow.</w:t>
      </w:r>
    </w:p>
    <w:p>
      <w:pPr>
        <w:pStyle w:val="BodyText"/>
      </w:pPr>
      <w:r>
        <w:t xml:space="preserve">Prepared by: Riyadh Financial Intelligence Unit</w:t>
      </w:r>
    </w:p>
    <w:p>
      <w:pPr>
        <w:pStyle w:val="BodyText"/>
      </w:pPr>
      <w:r>
        <w:t xml:space="preserve">Date: October 26, 2023</w:t>
      </w:r>
    </w:p>
    <w:p>
      <w:pPr>
        <w:pStyle w:val="BodyText"/>
      </w:pPr>
      <w:r>
        <w:rPr>
          <w:bCs/>
          <w:b/>
        </w:rPr>
        <w:t xml:space="preserve">Financial Analyst Performance Report | Saudi Arabia Riyadh Focus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Financial Analyst Performance in Saudi Arabia Riyadh</dc:title>
  <dc:creator/>
  <dc:language>en</dc:language>
  <cp:keywords/>
  <dcterms:created xsi:type="dcterms:W3CDTF">2026-07-23T09:32:51Z</dcterms:created>
  <dcterms:modified xsi:type="dcterms:W3CDTF">2026-07-23T09:32:51Z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