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6" w:name="X626acf71f67e1f56eb17a2f2d9816947395da2d"/>
    <w:p>
      <w:pPr>
        <w:pStyle w:val="Heading1"/>
      </w:pPr>
      <w:r>
        <w:t xml:space="preserve">Comprehensive Sales Performance Analysis Report: Financial Analyst Perspective for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Management, Iberian Operations</w:t>
      </w:r>
      <w:r>
        <w:br/>
      </w:r>
      <w:r>
        <w:rPr>
          <w:bCs/>
          <w:b/>
        </w:rPr>
        <w:t xml:space="preserve">Prepared By:</w:t>
      </w:r>
      <w:r>
        <w:t xml:space="preserve"> </w:t>
      </w:r>
      <w:r>
        <w:t xml:space="preserve">Global Financial Analysis Division – Barcelona Office</w:t>
      </w:r>
    </w:p>
    <w:bookmarkStart w:id="20" w:name="i.-executive-summary"/>
    <w:p>
      <w:pPr>
        <w:pStyle w:val="Heading2"/>
      </w:pPr>
      <w:r>
        <w:t xml:space="preserve">I. Executive Summary</w:t>
      </w:r>
    </w:p>
    <w:p>
      <w:pPr>
        <w:pStyle w:val="FirstParagraph"/>
      </w:pPr>
      <w:r>
        <w:t xml:space="preserve">This report presents a detailed analysis of sales performance metrics and strategic insights for our financial services division operating in Spain Barcelona. As a key economic hub within the European Union, Barcelona has demonstrated remarkable resilience in the financial sector despite macroeconomic fluctuations. Our Financial Analyst team has conducted an exhaustive review of Q3 2023 performance, revealing that while overall sales grew by 8.2% YoY, strategic gaps in client acquisition and cross-selling opportunities present significant growth potential for the Barcelona market. The report underscores how our Financial Analysts are instrumental in transforming raw sales data into actionable business intelligence that directly influences revenue strategy in Spain's most dynamic commercial center.</w:t>
      </w:r>
    </w:p>
    <w:bookmarkEnd w:id="20"/>
    <w:bookmarkStart w:id="21" w:name="X837787ada71ec28088b86b4793de069def92bad"/>
    <w:p>
      <w:pPr>
        <w:pStyle w:val="Heading2"/>
      </w:pPr>
      <w:r>
        <w:t xml:space="preserve">II. Barcelona Market Context &amp; Economic Landscape</w:t>
      </w:r>
    </w:p>
    <w:p>
      <w:pPr>
        <w:pStyle w:val="FirstParagraph"/>
      </w:pPr>
      <w:r>
        <w:t xml:space="preserve">Barcelona remains Spain's second-largest economic engine, contributing 14.7% to national GDP with a particularly robust financial services sector (38% of city employment). Our Financial Analysts identified three critical market dynamics impacting sales performance:</w:t>
      </w:r>
    </w:p>
    <w:p>
      <w:pPr>
        <w:numPr>
          <w:ilvl w:val="0"/>
          <w:numId w:val="1001"/>
        </w:numPr>
        <w:pStyle w:val="Compact"/>
      </w:pPr>
      <w:r>
        <w:rPr>
          <w:bCs/>
          <w:b/>
        </w:rPr>
        <w:t xml:space="preserve">Regulatory Shifts:</w:t>
      </w:r>
      <w:r>
        <w:t xml:space="preserve"> </w:t>
      </w:r>
      <w:r>
        <w:t xml:space="preserve">New EU Sustainable Finance Disclosure Regulation (SFDR) implementation in Q2 2023 created both challenges and opportunities for client acquisition. Our Barcelona-based Financial Analyst team developed specialized sales enablement materials that increased ESG-focused product uptake by 27%.</w:t>
      </w:r>
    </w:p>
    <w:p>
      <w:pPr>
        <w:numPr>
          <w:ilvl w:val="0"/>
          <w:numId w:val="1001"/>
        </w:numPr>
        <w:pStyle w:val="Compact"/>
      </w:pPr>
      <w:r>
        <w:rPr>
          <w:bCs/>
          <w:b/>
        </w:rPr>
        <w:t xml:space="preserve">Competitive Landscape:</w:t>
      </w:r>
      <w:r>
        <w:t xml:space="preserve"> </w:t>
      </w:r>
      <w:r>
        <w:t xml:space="preserve">Local fintechs like Nubank and Cazoo have captured 18% of new client acquisitions in the past year. Our Financial Analyst report highlighted this trend early, prompting targeted competitive pricing strategies that reduced market share erosion by 40%.</w:t>
      </w:r>
    </w:p>
    <w:p>
      <w:pPr>
        <w:numPr>
          <w:ilvl w:val="0"/>
          <w:numId w:val="1001"/>
        </w:numPr>
        <w:pStyle w:val="Compact"/>
      </w:pPr>
      <w:r>
        <w:rPr>
          <w:bCs/>
          <w:b/>
        </w:rPr>
        <w:t xml:space="preserve">Client Behavior Shifts:</w:t>
      </w:r>
      <w:r>
        <w:t xml:space="preserve"> </w:t>
      </w:r>
      <w:r>
        <w:t xml:space="preserve">Barcelona's corporate clients now demand real-time financial analytics – a service gap our current sales team struggled to address. The Financial Analyst department has since integrated predictive dashboard capabilities into all client proposals, directly contributing to a 32% higher conversion rate in enterprise deals.</w:t>
      </w:r>
    </w:p>
    <w:bookmarkEnd w:id="21"/>
    <w:bookmarkStart w:id="22" w:name="X46b8672aa18eda77a9ebdfb33816487ac69a297"/>
    <w:p>
      <w:pPr>
        <w:pStyle w:val="Heading2"/>
      </w:pPr>
      <w:r>
        <w:t xml:space="preserve">III. Sales Performance Deep Dive: Q3 2023 Barcelona Data</w:t>
      </w:r>
    </w:p>
    <w:p>
      <w:pPr>
        <w:pStyle w:val="FirstParagraph"/>
      </w:pPr>
      <w:r>
        <w:t xml:space="preserve">The following table summarizes key metrics analyzed by our Financial Analyst team:</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c>
          <w:tcPr/>
          <w:p>
            <w:pPr>
              <w:pStyle w:val="Compact"/>
              <w:jc w:val="left"/>
            </w:pPr>
            <w:r>
              <w:t xml:space="preserve">Spain Barcelona Benchmark</w:t>
            </w:r>
          </w:p>
        </w:tc>
      </w:tr>
      <w:tr>
        <w:tc>
          <w:tcPr/>
          <w:p>
            <w:pPr>
              <w:pStyle w:val="Compact"/>
              <w:jc w:val="left"/>
            </w:pPr>
            <w:r>
              <w:t xml:space="preserve">Total Sales Revenue</w:t>
            </w:r>
          </w:p>
        </w:tc>
        <w:tc>
          <w:tcPr/>
          <w:p>
            <w:pPr>
              <w:pStyle w:val="Compact"/>
              <w:jc w:val="left"/>
            </w:pPr>
            <w:r>
              <w:t xml:space="preserve">€4.87M</w:t>
            </w:r>
          </w:p>
        </w:tc>
        <w:tc>
          <w:tcPr/>
          <w:p>
            <w:pPr>
              <w:pStyle w:val="Compact"/>
              <w:jc w:val="left"/>
            </w:pPr>
            <w:r>
              <w:t xml:space="preserve">€4.32M</w:t>
            </w:r>
          </w:p>
        </w:tc>
        <w:tc>
          <w:tcPr/>
          <w:p>
            <w:pPr>
              <w:pStyle w:val="Compact"/>
              <w:jc w:val="left"/>
            </w:pPr>
            <w:r>
              <w:t xml:space="preserve">+12.7%</w:t>
            </w:r>
          </w:p>
        </w:tc>
        <w:tc>
          <w:tcPr/>
          <w:p>
            <w:pPr>
              <w:pStyle w:val="Compact"/>
              <w:jc w:val="left"/>
            </w:pPr>
            <w:r>
              <w:t xml:space="preserve">+9.5%</w:t>
            </w:r>
          </w:p>
        </w:tc>
      </w:tr>
      <w:tr>
        <w:tc>
          <w:tcPr>
            <w:gridSpan w:val="3"/>
          </w:tcPr>
          <w:p>
            <w:pPr>
              <w:pStyle w:val="Compact"/>
              <w:jc w:val="left"/>
            </w:pPr>
            <w:r>
              <w:t xml:space="preserve">Sales Growth by Product Segment (Barcelona)</w:t>
            </w:r>
          </w:p>
        </w:tc>
        <w:tc>
          <w:tcPr/>
          <w:p>
            <w:pPr>
              <w:pStyle w:val="Compact"/>
            </w:pPr>
          </w:p>
        </w:tc>
        <w:tc>
          <w:tcPr/>
          <w:p>
            <w:pPr>
              <w:pStyle w:val="Compact"/>
            </w:pPr>
          </w:p>
        </w:tc>
      </w:tr>
      <w:tr>
        <w:tc>
          <w:tcPr/>
          <w:p>
            <w:pPr>
              <w:pStyle w:val="Compact"/>
              <w:jc w:val="left"/>
            </w:pPr>
            <w:r>
              <w:t xml:space="preserve">Product Line</w:t>
            </w:r>
          </w:p>
        </w:tc>
        <w:tc>
          <w:tcPr/>
          <w:p>
            <w:pPr>
              <w:pStyle w:val="Compact"/>
              <w:jc w:val="left"/>
            </w:pPr>
            <w:r>
              <w:t xml:space="preserve">Revenue Share</w:t>
            </w:r>
          </w:p>
        </w:tc>
        <w:tc>
          <w:tcPr/>
          <w:p>
            <w:pPr>
              <w:pStyle w:val="Compact"/>
              <w:jc w:val="left"/>
            </w:pPr>
            <w:r>
              <w:t xml:space="preserve">Growth Rate</w:t>
            </w:r>
          </w:p>
        </w:tc>
        <w:tc>
          <w:tcPr/>
          <w:p>
            <w:pPr>
              <w:pStyle w:val="Compact"/>
            </w:pPr>
          </w:p>
        </w:tc>
        <w:tc>
          <w:tcPr/>
          <w:p>
            <w:pPr>
              <w:pStyle w:val="Compact"/>
            </w:pPr>
          </w:p>
        </w:tc>
      </w:tr>
      <w:tr>
        <w:tc>
          <w:tcPr/>
          <w:p>
            <w:pPr>
              <w:pStyle w:val="Compact"/>
              <w:jc w:val="left"/>
            </w:pPr>
            <w:r>
              <w:t xml:space="preserve">SME Financial Solutions</w:t>
            </w:r>
          </w:p>
        </w:tc>
        <w:tc>
          <w:tcPr/>
          <w:p>
            <w:pPr>
              <w:pStyle w:val="Compact"/>
              <w:jc w:val="left"/>
            </w:pPr>
            <w:r>
              <w:t xml:space="preserve">42%</w:t>
            </w:r>
          </w:p>
        </w:tc>
        <w:tc>
          <w:tcPr/>
          <w:p>
            <w:pPr>
              <w:pStyle w:val="Compact"/>
              <w:jc w:val="left"/>
            </w:pPr>
            <w:r>
              <w:t xml:space="preserve">+18.3%</w:t>
            </w:r>
          </w:p>
        </w:tc>
        <w:tc>
          <w:tcPr/>
          <w:p>
            <w:pPr>
              <w:pStyle w:val="Compact"/>
            </w:pPr>
          </w:p>
        </w:tc>
        <w:tc>
          <w:tcPr/>
          <w:p>
            <w:pPr>
              <w:pStyle w:val="Compact"/>
            </w:pPr>
          </w:p>
        </w:tc>
      </w:tr>
      <w:tr>
        <w:tc>
          <w:tcPr/>
          <w:p>
            <w:pPr>
              <w:pStyle w:val="Compact"/>
              <w:jc w:val="left"/>
            </w:pPr>
            <w:r>
              <w:t xml:space="preserve">Cross-Border Trade Analytics</w:t>
            </w:r>
          </w:p>
        </w:tc>
        <w:tc>
          <w:tcPr/>
          <w:p>
            <w:pPr>
              <w:pStyle w:val="Compact"/>
              <w:jc w:val="left"/>
            </w:pPr>
            <w:r>
              <w:t xml:space="preserve">29%</w:t>
            </w:r>
          </w:p>
        </w:tc>
        <w:tc>
          <w:tcPr/>
          <w:p>
            <w:pPr>
              <w:pStyle w:val="Compact"/>
              <w:jc w:val="left"/>
            </w:pPr>
            <w:r>
              <w:t xml:space="preserve">+6.1%</w:t>
            </w:r>
          </w:p>
        </w:tc>
        <w:tc>
          <w:tcPr/>
          <w:p>
            <w:pPr>
              <w:pStyle w:val="Compact"/>
            </w:pPr>
          </w:p>
        </w:tc>
        <w:tc>
          <w:tcPr/>
          <w:p>
            <w:pPr>
              <w:pStyle w:val="Compact"/>
            </w:pPr>
          </w:p>
        </w:tc>
      </w:tr>
      <w:tr>
        <w:tc>
          <w:tcPr>
            <w:gridSpan w:val="3"/>
          </w:tcPr>
          <w:p>
            <w:pPr>
              <w:pStyle w:val="Compact"/>
              <w:jc w:val="left"/>
            </w:pPr>
            <w:r>
              <w:t xml:space="preserve">Client Acquisition Metrics (Barcelona)</w:t>
            </w:r>
          </w:p>
        </w:tc>
        <w:tc>
          <w:tcPr/>
          <w:p>
            <w:pPr>
              <w:pStyle w:val="Compact"/>
            </w:pPr>
          </w:p>
        </w:tc>
        <w:tc>
          <w:tcPr/>
          <w:p>
            <w:pPr>
              <w:pStyle w:val="Compact"/>
            </w:pPr>
          </w:p>
        </w:tc>
      </w:tr>
      <w:tr>
        <w:tc>
          <w:tcPr/>
          <w:p>
            <w:pPr>
              <w:pStyle w:val="Compact"/>
              <w:jc w:val="left"/>
            </w:pPr>
            <w:r>
              <w:t xml:space="preserve">Acquisition Channel</w:t>
            </w:r>
          </w:p>
        </w:tc>
        <w:tc>
          <w:tcPr/>
          <w:p>
            <w:pPr>
              <w:pStyle w:val="Compact"/>
              <w:jc w:val="left"/>
            </w:pPr>
            <w:r>
              <w:t xml:space="preserve">New Clients</w:t>
            </w:r>
          </w:p>
        </w:tc>
        <w:tc>
          <w:tcPr/>
          <w:p>
            <w:pPr>
              <w:pStyle w:val="Compact"/>
              <w:jc w:val="left"/>
            </w:pPr>
            <w:r>
              <w:t xml:space="preserve">CAC (€)</w:t>
            </w:r>
          </w:p>
        </w:tc>
        <w:tc>
          <w:tcPr/>
          <w:p>
            <w:pPr>
              <w:pStyle w:val="Compact"/>
            </w:pPr>
          </w:p>
        </w:tc>
        <w:tc>
          <w:tcPr/>
          <w:p>
            <w:pPr>
              <w:pStyle w:val="Compact"/>
            </w:pPr>
          </w:p>
        </w:tc>
      </w:tr>
      <w:tr>
        <w:tc>
          <w:tcPr/>
          <w:p>
            <w:pPr>
              <w:pStyle w:val="Compact"/>
              <w:jc w:val="left"/>
            </w:pPr>
            <w:r>
              <w:t xml:space="preserve">Trade Shows (e.g., Barcelona FinTech Week)</w:t>
            </w:r>
          </w:p>
        </w:tc>
        <w:tc>
          <w:tcPr/>
          <w:p>
            <w:pPr>
              <w:pStyle w:val="Compact"/>
              <w:jc w:val="left"/>
            </w:pPr>
            <w:r>
              <w:t xml:space="preserve">87</w:t>
            </w:r>
          </w:p>
        </w:tc>
        <w:tc>
          <w:tcPr/>
          <w:p>
            <w:pPr>
              <w:pStyle w:val="Compact"/>
              <w:jc w:val="left"/>
            </w:pPr>
            <w:r>
              <w:t xml:space="preserve">€2,450</w:t>
            </w:r>
          </w:p>
        </w:tc>
        <w:tc>
          <w:tcPr/>
          <w:p>
            <w:pPr>
              <w:pStyle w:val="Compact"/>
            </w:pPr>
          </w:p>
        </w:tc>
        <w:tc>
          <w:tcPr/>
          <w:p>
            <w:pPr>
              <w:pStyle w:val="Compact"/>
            </w:pPr>
          </w:p>
        </w:tc>
      </w:tr>
      <w:tr>
        <w:tc>
          <w:tcPr>
            <w:gridSpan w:val="3"/>
          </w:tcPr>
          <w:p>
            <w:pPr>
              <w:pStyle w:val="Compact"/>
              <w:jc w:val="left"/>
            </w:pPr>
            <w:r>
              <w:t xml:space="preserve">Financial Analyst Insight: High-value leads from local events show 63% higher LTV</w:t>
            </w:r>
          </w:p>
        </w:tc>
        <w:tc>
          <w:tcPr/>
          <w:p>
            <w:pPr>
              <w:pStyle w:val="Compact"/>
            </w:pPr>
          </w:p>
        </w:tc>
        <w:tc>
          <w:tcPr/>
          <w:p>
            <w:pPr>
              <w:pStyle w:val="Compact"/>
            </w:pPr>
          </w:p>
        </w:tc>
      </w:tr>
    </w:tbl>
    <w:p>
      <w:pPr>
        <w:pStyle w:val="BodyText"/>
      </w:pPr>
      <w:r>
        <w:t xml:space="preserve">Our Financial Analyst team identified a critical insight: While overall sales exceeded targets, the SME segment growth was 42% above regional average due to our Barcelona office's localized approach. This success stems directly from Financial Analysts' recommendation to develop Spanish-language compliance documentation, reducing onboarding time by 35% for local businesses.</w:t>
      </w:r>
    </w:p>
    <w:bookmarkEnd w:id="22"/>
    <w:bookmarkStart w:id="23" w:name="X6df9e607d8c2caffff0d91074e715cd56e85988"/>
    <w:p>
      <w:pPr>
        <w:pStyle w:val="Heading2"/>
      </w:pPr>
      <w:r>
        <w:t xml:space="preserve">IV. Critical Challenges Identified by Financial Analysts</w:t>
      </w:r>
    </w:p>
    <w:p>
      <w:pPr>
        <w:pStyle w:val="FirstParagraph"/>
      </w:pPr>
      <w:r>
        <w:t xml:space="preserve">Despite positive trends, our Barcelona Financial Analyst team flagged three urgent issues requiring sales strategy adjustments:</w:t>
      </w:r>
    </w:p>
    <w:p>
      <w:pPr>
        <w:numPr>
          <w:ilvl w:val="0"/>
          <w:numId w:val="1002"/>
        </w:numPr>
        <w:pStyle w:val="Compact"/>
      </w:pPr>
      <w:r>
        <w:rPr>
          <w:bCs/>
          <w:b/>
        </w:rPr>
        <w:t xml:space="preserve">Client Churn in Mid-Market Segment:</w:t>
      </w:r>
      <w:r>
        <w:t xml:space="preserve"> </w:t>
      </w:r>
      <w:r>
        <w:t xml:space="preserve">17% of mid-sized clients (€500k-€2M revenue) exited due to perceived lack of personalized analytics. The Financial Analyst team proposed a tailored dashboard solution that reduced churn by 29% during our pilot, now being rolled out across all sales teams in Spain Barcelona.</w:t>
      </w:r>
    </w:p>
    <w:p>
      <w:pPr>
        <w:numPr>
          <w:ilvl w:val="0"/>
          <w:numId w:val="1002"/>
        </w:numPr>
        <w:pStyle w:val="Compact"/>
      </w:pPr>
      <w:r>
        <w:rPr>
          <w:bCs/>
          <w:b/>
        </w:rPr>
        <w:t xml:space="preserve">Underutilized Cross-Sell Opportunities:</w:t>
      </w:r>
      <w:r>
        <w:t xml:space="preserve"> </w:t>
      </w:r>
      <w:r>
        <w:t xml:space="preserve">Analysis revealed only 38% of existing clients use our advanced analytics tools (vs. 65% industry benchmark). Our Financial Analysts developed a "Value Pathway" model that increased cross-sell revenue by €210k in Q3 through targeted data-driven proposals.</w:t>
      </w:r>
    </w:p>
    <w:p>
      <w:pPr>
        <w:numPr>
          <w:ilvl w:val="0"/>
          <w:numId w:val="1002"/>
        </w:numPr>
        <w:pStyle w:val="Compact"/>
      </w:pPr>
      <w:r>
        <w:rPr>
          <w:bCs/>
          <w:b/>
        </w:rPr>
        <w:t xml:space="preserve">Spain-Specific Pricing Misalignment:</w:t>
      </w:r>
      <w:r>
        <w:t xml:space="preserve"> </w:t>
      </w:r>
      <w:r>
        <w:t xml:space="preserve">The Financial Analyst report exposed a 14% price premium compared to Barcelona's competitive landscape for similar analytics packages. This triggered a pricing restructuring that boosted sales conversion by 22% without margin erosion.</w:t>
      </w:r>
    </w:p>
    <w:bookmarkEnd w:id="23"/>
    <w:bookmarkStart w:id="24" w:name="Xe22a4379b1f6a66945341ce70765ce4556a51c6"/>
    <w:p>
      <w:pPr>
        <w:pStyle w:val="Heading2"/>
      </w:pPr>
      <w:r>
        <w:t xml:space="preserve">V. Strategic Recommendations from the Financial Analyst Department</w:t>
      </w:r>
    </w:p>
    <w:p>
      <w:pPr>
        <w:pStyle w:val="FirstParagraph"/>
      </w:pPr>
      <w:r>
        <w:t xml:space="preserve">Based on comprehensive data analysis of Spain Barcelona's market dynamics, our Financial Analyst team recommends the following sales strategy enhancements:</w:t>
      </w:r>
    </w:p>
    <w:p>
      <w:pPr>
        <w:numPr>
          <w:ilvl w:val="0"/>
          <w:numId w:val="1003"/>
        </w:numPr>
        <w:pStyle w:val="Compact"/>
      </w:pPr>
      <w:r>
        <w:rPr>
          <w:bCs/>
          <w:b/>
        </w:rPr>
        <w:t xml:space="preserve">Implement Hyper-Localized Sales Playbooks:</w:t>
      </w:r>
      <w:r>
        <w:t xml:space="preserve"> </w:t>
      </w:r>
      <w:r>
        <w:t xml:space="preserve">Develop region-specific proposals using Barcelona's economic indicators (e.g., tourism recovery metrics, manufacturing sector health). Our Financial Analysts will provide monthly localized KPI dashboards to sales teams.</w:t>
      </w:r>
    </w:p>
    <w:p>
      <w:pPr>
        <w:numPr>
          <w:ilvl w:val="0"/>
          <w:numId w:val="1003"/>
        </w:numPr>
        <w:pStyle w:val="Compact"/>
      </w:pPr>
      <w:r>
        <w:rPr>
          <w:bCs/>
          <w:b/>
        </w:rPr>
        <w:t xml:space="preserve">Launch "Barcelona Growth Accelerator" Program:</w:t>
      </w:r>
      <w:r>
        <w:t xml:space="preserve"> </w:t>
      </w:r>
      <w:r>
        <w:t xml:space="preserve">Target SMEs with high tourism/tech exposure using our Financial Analyst-proven predictive models. Initial projections indicate €1.2M incremental revenue potential by Q1 2024.</w:t>
      </w:r>
    </w:p>
    <w:p>
      <w:pPr>
        <w:numPr>
          <w:ilvl w:val="0"/>
          <w:numId w:val="1003"/>
        </w:numPr>
        <w:pStyle w:val="Compact"/>
      </w:pPr>
      <w:r>
        <w:rPr>
          <w:bCs/>
          <w:b/>
        </w:rPr>
        <w:t xml:space="preserve">Integrate Real-Time Data Tools:</w:t>
      </w:r>
      <w:r>
        <w:t xml:space="preserve"> </w:t>
      </w:r>
      <w:r>
        <w:t xml:space="preserve">Deploy the Barcelona-specific financial analytics module (developed by our local Financial Analyst team) into all sales calls. This reduces client onboarding time from 3 weeks to 5 business days – a key differentiator in Spain's competitive market.</w:t>
      </w:r>
    </w:p>
    <w:p>
      <w:pPr>
        <w:numPr>
          <w:ilvl w:val="0"/>
          <w:numId w:val="1003"/>
        </w:numPr>
        <w:pStyle w:val="Compact"/>
      </w:pPr>
      <w:r>
        <w:rPr>
          <w:bCs/>
          <w:b/>
        </w:rPr>
        <w:t xml:space="preserve">Establish Sales-Finance Collaboration Council:</w:t>
      </w:r>
      <w:r>
        <w:t xml:space="preserve"> </w:t>
      </w:r>
      <w:r>
        <w:t xml:space="preserve">Create monthly meetings between Barcelona sales leadership and Financial Analysts to co-develop strategies. This initiative has already improved sales forecast accuracy by 27% in our pilot group.</w:t>
      </w:r>
    </w:p>
    <w:bookmarkEnd w:id="24"/>
    <w:bookmarkStart w:id="25" w:name="Xff61ddbee6693b500263a1f570e97875d1c203d"/>
    <w:p>
      <w:pPr>
        <w:pStyle w:val="Heading2"/>
      </w:pPr>
      <w:r>
        <w:t xml:space="preserve">VI. Conclusion: The Indispensable Role of Financial Analysts in Barcelona's Sales Success</w:t>
      </w:r>
    </w:p>
    <w:p>
      <w:pPr>
        <w:pStyle w:val="FirstParagraph"/>
      </w:pPr>
      <w:r>
        <w:t xml:space="preserve">This Sales Report unequivocally demonstrates that the Financial Analyst function is no longer merely a support role but the strategic engine driving revenue growth in Spain Barcelona. Our data reveals that every €1 invested in enhanced financial analysis capabilities generates €5.80 in incremental sales revenue within our Barcelona operations – a figure 23% above global average.</w:t>
      </w:r>
    </w:p>
    <w:p>
      <w:pPr>
        <w:pStyle w:val="BodyText"/>
      </w:pPr>
      <w:r>
        <w:t xml:space="preserve">As Barcelona continues to solidify its position as Europe's premier fintech hub (ranking #4 globally for startup funding), the Financial Analyst's ability to translate complex market data into actionable sales intelligence will determine our competitive dominance. The success of Q3 2023 – with Spain Barcelona exceeding regional targets by 11% – was directly attributable to our Financial Analyst team's early identification of ESG compliance opportunities and localized pricing adjustments.</w:t>
      </w:r>
    </w:p>
    <w:p>
      <w:pPr>
        <w:pStyle w:val="BodyText"/>
      </w:pPr>
      <w:r>
        <w:t xml:space="preserve">We recommend elevating the Financial Analyst role within sales operations structure, including dedicated analysts assigned to each major client sector. This investment will ensure Spain Barcelona maintains its leadership position as we navigate 2024's economic challenges and capitalize on emerging opportunities in the Mediterranean financial ecosystem. The Financial Analyst team remains positioned to deliver exceptional value through data-driven sales optimization for all our clients across Spain Barcelona.</w:t>
      </w:r>
    </w:p>
    <w:p>
      <w:pPr>
        <w:pStyle w:val="BodyText"/>
      </w:pPr>
      <w:r>
        <w:rPr>
          <w:iCs/>
          <w:i/>
        </w:rPr>
        <w:t xml:space="preserve">Report Prepared by Global Financial Analysis Division • Barcelona Office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Spain Barcelona Market</dc:title>
  <dc:creator/>
  <dc:language>en</dc:language>
  <cp:keywords/>
  <dcterms:created xsi:type="dcterms:W3CDTF">2025-12-16T08:37:49Z</dcterms:created>
  <dcterms:modified xsi:type="dcterms:W3CDTF">2025-12-16T08:37:49Z</dcterms:modified>
</cp:coreProperties>
</file>

<file path=docProps/custom.xml><?xml version="1.0" encoding="utf-8"?>
<Properties xmlns="http://schemas.openxmlformats.org/officeDocument/2006/custom-properties" xmlns:vt="http://schemas.openxmlformats.org/officeDocument/2006/docPropsVTypes"/>
</file>