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p>
    <w:bookmarkStart w:id="28" w:name="X05f53de515e72dd3545c99d0374c2534252ab95"/>
    <w:p>
      <w:pPr>
        <w:pStyle w:val="Heading1"/>
      </w:pPr>
      <w:r>
        <w:t xml:space="preserve">SALES REPORT &amp; FINANCIAL ANALYSIS</w:t>
      </w:r>
      <w:r>
        <w:br/>
      </w:r>
      <w:r>
        <w:t xml:space="preserve">FOR THE COLOMBO MARKET, SRI LANKA</w:t>
      </w:r>
    </w:p>
    <w:p>
      <w:pPr>
        <w:pStyle w:val="FirstParagraph"/>
      </w:pPr>
      <w:r>
        <w:t xml:space="preserve">Prepared for Senior Leadership Team | Date: October 26, 2023 | Prepared By: Financial Analysis Department</w:t>
      </w:r>
    </w:p>
    <w:bookmarkStart w:id="20" w:name="executive-summary"/>
    <w:p>
      <w:pPr>
        <w:pStyle w:val="Heading2"/>
      </w:pPr>
      <w:r>
        <w:t xml:space="preserve">Executive Summary</w:t>
      </w:r>
    </w:p>
    <w:p>
      <w:pPr>
        <w:pStyle w:val="FirstParagraph"/>
      </w:pPr>
      <w:r>
        <w:t xml:space="preserve">This comprehensive Sales Report presents a detailed financial analysis of our market performance in Sri Lanka Colombo during Q3 2023. As the dedicated Financial Analyst for the South Asian region, I have conducted an in-depth review of sales data, market trends, and economic indicators specific to Colombo's dynamic business environment. Our Q3 performance reflects both significant opportunities and challenges within Sri Lanka's evolving financial landscape. Key findings indicate a 12% year-over-year revenue growth in Colombo despite macroeconomic headwinds, positioning us for sustained expansion in this critical South Asian market.</w:t>
      </w:r>
    </w:p>
    <w:bookmarkEnd w:id="20"/>
    <w:bookmarkStart w:id="21" w:name="market-context-sri-lanka-colombo"/>
    <w:p>
      <w:pPr>
        <w:pStyle w:val="Heading2"/>
      </w:pPr>
      <w:r>
        <w:t xml:space="preserve">Market Context: Sri Lanka Colombo</w:t>
      </w:r>
    </w:p>
    <w:p>
      <w:pPr>
        <w:pStyle w:val="FirstParagraph"/>
      </w:pPr>
      <w:r>
        <w:t xml:space="preserve">Colombo remains the economic nerve center of Sri Lanka, housing 70% of the nation's multinational corporations and financial institutions. The recent monetary policy adjustments by the Central Bank of Sri Lanka (CBSL) have significantly impacted consumer spending patterns, particularly in our key sectors: retail technology solutions (32% revenue contribution) and corporate financial services (45%). As a Financial Analyst operating within this complex ecosystem, I've observed that Colombo's market has shown remarkable resilience despite a 7.2% inflation rate reported in September 2023. Our sales performance in this environment directly reflects our strategic alignment with Colombo's emerging digital transformation initiatives.</w:t>
      </w:r>
    </w:p>
    <w:bookmarkEnd w:id="21"/>
    <w:bookmarkStart w:id="23" w:name="q3-sales-performance-analysis"/>
    <w:p>
      <w:pPr>
        <w:pStyle w:val="Heading2"/>
      </w:pPr>
      <w:r>
        <w:t xml:space="preserve">Q3 Sales Performance Analysis</w:t>
      </w:r>
    </w:p>
    <w:bookmarkStart w:id="22" w:name="revenue-breakdown-colombo-market"/>
    <w:p>
      <w:pPr>
        <w:pStyle w:val="Heading3"/>
      </w:pPr>
      <w:r>
        <w:t xml:space="preserve">Revenue Breakdown (Colombo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Revenue (LKR)</w:t>
            </w:r>
          </w:p>
        </w:tc>
        <w:tc>
          <w:tcPr/>
          <w:p>
            <w:pPr>
              <w:pStyle w:val="Compact"/>
              <w:jc w:val="left"/>
            </w:pPr>
            <w:r>
              <w:t xml:space="preserve">YoY Change</w:t>
            </w:r>
          </w:p>
        </w:tc>
        <w:tc>
          <w:tcPr/>
          <w:p>
            <w:pPr>
              <w:pStyle w:val="Compact"/>
              <w:jc w:val="left"/>
            </w:pPr>
            <w:r>
              <w:t xml:space="preserve">Market Share</w:t>
            </w:r>
          </w:p>
        </w:tc>
      </w:tr>
      <w:tr>
        <w:tc>
          <w:tcPr/>
          <w:p>
            <w:pPr>
              <w:pStyle w:val="Compact"/>
              <w:jc w:val="left"/>
            </w:pPr>
            <w:r>
              <w:t xml:space="preserve">Digital Banking Solutions</w:t>
            </w:r>
          </w:p>
        </w:tc>
        <w:tc>
          <w:tcPr/>
          <w:p>
            <w:pPr>
              <w:pStyle w:val="Compact"/>
              <w:jc w:val="left"/>
            </w:pPr>
            <w:r>
              <w:t xml:space="preserve">24.7 Cr.</w:t>
            </w:r>
          </w:p>
        </w:tc>
        <w:tc>
          <w:tcPr/>
          <w:p>
            <w:pPr>
              <w:pStyle w:val="Compact"/>
              <w:jc w:val="left"/>
            </w:pPr>
            <w:r>
              <w:t xml:space="preserve">+18.3%</w:t>
            </w:r>
          </w:p>
        </w:tc>
        <w:tc>
          <w:tcPr/>
          <w:p>
            <w:pPr>
              <w:pStyle w:val="Compact"/>
              <w:jc w:val="left"/>
            </w:pPr>
            <w:r>
              <w:t xml:space="preserve">34% (up 6% from Q2)</w:t>
            </w:r>
          </w:p>
        </w:tc>
      </w:tr>
      <w:tr>
        <w:tc>
          <w:tcPr/>
          <w:p>
            <w:pPr>
              <w:pStyle w:val="Compact"/>
              <w:jc w:val="left"/>
            </w:pPr>
            <w:r>
              <w:t xml:space="preserve">Cashless Payment Systems</w:t>
            </w:r>
          </w:p>
        </w:tc>
        <w:tc>
          <w:tcPr/>
          <w:p>
            <w:pPr>
              <w:pStyle w:val="Compact"/>
              <w:jc w:val="left"/>
            </w:pPr>
            <w:r>
              <w:t xml:space="preserve">18.9 Cr.</w:t>
            </w:r>
          </w:p>
        </w:tc>
        <w:tc>
          <w:tcPr/>
          <w:p>
            <w:pPr>
              <w:pStyle w:val="Compact"/>
              <w:jc w:val="left"/>
            </w:pPr>
            <w:r>
              <w:t xml:space="preserve">+15.6%</w:t>
            </w:r>
          </w:p>
        </w:tc>
        <w:tc>
          <w:tcPr/>
          <w:p>
            <w:pPr>
              <w:pStyle w:val="Compact"/>
              <w:jc w:val="left"/>
            </w:pPr>
            <w:r>
              <w:t xml:space="preserve">42% (up 5% from Q2)</w:t>
            </w:r>
          </w:p>
        </w:tc>
      </w:tr>
      <w:tr>
        <w:tc>
          <w:tcPr/>
          <w:p>
            <w:pPr>
              <w:pStyle w:val="Compact"/>
              <w:jc w:val="left"/>
            </w:pPr>
            <w:r>
              <w:t xml:space="preserve">Financial Analytics Platforms</w:t>
            </w:r>
          </w:p>
        </w:tc>
        <w:tc>
          <w:tcPr/>
          <w:p>
            <w:pPr>
              <w:pStyle w:val="Compact"/>
              <w:jc w:val="left"/>
            </w:pPr>
            <w:r>
              <w:t xml:space="preserve">12.3 Cr.</w:t>
            </w:r>
          </w:p>
        </w:tc>
        <w:tc>
          <w:tcPr/>
          <w:p>
            <w:pPr>
              <w:pStyle w:val="Compact"/>
              <w:jc w:val="left"/>
            </w:pPr>
            <w:r>
              <w:t xml:space="preserve">+9.1%</w:t>
            </w:r>
          </w:p>
        </w:tc>
        <w:tc>
          <w:tcPr/>
          <w:p>
            <w:pPr>
              <w:pStyle w:val="Compact"/>
              <w:jc w:val="left"/>
            </w:pPr>
            <w:r>
              <w:t xml:space="preserve">28% (up 3% from Q2)</w:t>
            </w:r>
          </w:p>
        </w:tc>
      </w:tr>
      <w:tr>
        <w:tc>
          <w:tcPr/>
          <w:p>
            <w:pPr>
              <w:pStyle w:val="Compact"/>
              <w:jc w:val="left"/>
            </w:pPr>
            <w:r>
              <w:t xml:space="preserve">Total</w:t>
            </w:r>
          </w:p>
        </w:tc>
        <w:tc>
          <w:tcPr/>
          <w:p>
            <w:pPr>
              <w:pStyle w:val="Compact"/>
              <w:jc w:val="left"/>
            </w:pPr>
            <w:r>
              <w:rPr>
                <w:bCs/>
                <w:b/>
              </w:rPr>
              <w:t xml:space="preserve">55.9 Cr.</w:t>
            </w:r>
          </w:p>
        </w:tc>
        <w:tc>
          <w:tcPr/>
          <w:p>
            <w:pPr>
              <w:pStyle w:val="Compact"/>
              <w:jc w:val="left"/>
            </w:pPr>
            <w:r>
              <w:rPr>
                <w:bCs/>
                <w:b/>
              </w:rPr>
              <w:t xml:space="preserve">+12.1%</w:t>
            </w:r>
          </w:p>
        </w:tc>
        <w:tc>
          <w:tcPr/>
          <w:p>
            <w:pPr>
              <w:pStyle w:val="Compact"/>
              <w:jc w:val="left"/>
            </w:pPr>
            <w:r>
              <w:rPr>
                <w:bCs/>
                <w:b/>
              </w:rPr>
              <w:t xml:space="preserve">33% market share</w:t>
            </w:r>
          </w:p>
        </w:tc>
      </w:tr>
    </w:tbl>
    <w:p>
      <w:pPr>
        <w:pStyle w:val="BodyText"/>
      </w:pPr>
      <w:r>
        <w:t xml:space="preserve">The Financial Analyst team's analysis reveals that our digital banking solutions experienced exceptional growth (18.3%) due to the new Sri Lanka Digital Payment Gateway launched in July 2023. This aligns perfectly with Colombo's strategic push toward cashless transactions, a national priority under the Central Bank's 'Digital Lanka' initiative. Notably, our Financial Analytics Platform saw slower growth (9.1%) primarily due to delayed enterprise procurement cycles during Sri Lanka's recent economic stabilization phase.</w:t>
      </w:r>
    </w:p>
    <w:bookmarkEnd w:id="22"/>
    <w:bookmarkEnd w:id="23"/>
    <w:bookmarkStart w:id="24" w:name="X23396bac5f5ef6bb0ef604befc211dcaaaf86e3"/>
    <w:p>
      <w:pPr>
        <w:pStyle w:val="Heading2"/>
      </w:pPr>
      <w:r>
        <w:t xml:space="preserve">Critical Market Insights from Colombo Analysis</w:t>
      </w:r>
    </w:p>
    <w:p>
      <w:pPr>
        <w:pStyle w:val="FirstParagraph"/>
      </w:pPr>
      <w:r>
        <w:t xml:space="preserve">As the Financial Analyst responsible for the Sri Lanka Colombo operations, I've identified three pivotal market dynamics:</w:t>
      </w:r>
    </w:p>
    <w:p>
      <w:pPr>
        <w:numPr>
          <w:ilvl w:val="0"/>
          <w:numId w:val="1001"/>
        </w:numPr>
        <w:pStyle w:val="Compact"/>
      </w:pPr>
      <w:r>
        <w:rPr>
          <w:bCs/>
          <w:b/>
        </w:rPr>
        <w:t xml:space="preserve">Regulatory Tailwinds:</w:t>
      </w:r>
      <w:r>
        <w:t xml:space="preserve"> </w:t>
      </w:r>
      <w:r>
        <w:t xml:space="preserve">The new Sri Lanka Securities and Exchange Commission (SEC) regulations mandating real-time financial analytics for all listed companies have created a $14.2M pipeline opportunity in Colombo alone, directly benefiting our Financial Analyst service offerings.</w:t>
      </w:r>
    </w:p>
    <w:p>
      <w:pPr>
        <w:numPr>
          <w:ilvl w:val="0"/>
          <w:numId w:val="1001"/>
        </w:numPr>
        <w:pStyle w:val="Compact"/>
      </w:pPr>
      <w:r>
        <w:rPr>
          <w:bCs/>
          <w:b/>
        </w:rPr>
        <w:t xml:space="preserve">Local Partner Ecosystem:</w:t>
      </w:r>
      <w:r>
        <w:t xml:space="preserve"> </w:t>
      </w:r>
      <w:r>
        <w:t xml:space="preserve">Strategic partnerships with Colombo-based fintech innovators like 'NexusPay' and 'LankaFinTech Solutions' have accelerated our market penetration by 37% in Q3. These local alliances are critical for navigating Sri Lanka's unique regulatory environment.</w:t>
      </w:r>
    </w:p>
    <w:p>
      <w:pPr>
        <w:numPr>
          <w:ilvl w:val="0"/>
          <w:numId w:val="1001"/>
        </w:numPr>
        <w:pStyle w:val="Compact"/>
      </w:pPr>
      <w:r>
        <w:rPr>
          <w:bCs/>
          <w:b/>
        </w:rPr>
        <w:t xml:space="preserve">Currency Volatility Impact:</w:t>
      </w:r>
      <w:r>
        <w:t xml:space="preserve"> </w:t>
      </w:r>
      <w:r>
        <w:t xml:space="preserve">Despite the LKR depreciation (21% against USD in 2023), our dollar-denominated contracts have protected revenue, while local pricing strategies maintained competitiveness in Colombo's price-sensitive market.</w:t>
      </w:r>
    </w:p>
    <w:bookmarkEnd w:id="24"/>
    <w:bookmarkStart w:id="25" w:name="challenges-facing-colombo-operations"/>
    <w:p>
      <w:pPr>
        <w:pStyle w:val="Heading2"/>
      </w:pPr>
      <w:r>
        <w:t xml:space="preserve">Challenges Facing Colombo Operations</w:t>
      </w:r>
    </w:p>
    <w:p>
      <w:pPr>
        <w:pStyle w:val="FirstParagraph"/>
      </w:pPr>
      <w:r>
        <w:t xml:space="preserve">Our Financial Analyst review highlights two significant challenges requiring immediate attention in Sri Lanka Colombo:</w:t>
      </w:r>
    </w:p>
    <w:p>
      <w:pPr>
        <w:numPr>
          <w:ilvl w:val="0"/>
          <w:numId w:val="1002"/>
        </w:numPr>
        <w:pStyle w:val="Compact"/>
      </w:pPr>
      <w:r>
        <w:rPr>
          <w:bCs/>
          <w:b/>
        </w:rPr>
        <w:t xml:space="preserve">Supply Chain Disruptions:</w:t>
      </w:r>
      <w:r>
        <w:t xml:space="preserve"> </w:t>
      </w:r>
      <w:r>
        <w:t xml:space="preserve">Customs delays at Port of Colombo have increased product delivery times by 28 days, directly impacting sales cycle efficiency. This represents a $3.1M quarterly revenue loss opportunity we must address through localized inventory strategies.</w:t>
      </w:r>
    </w:p>
    <w:p>
      <w:pPr>
        <w:numPr>
          <w:ilvl w:val="0"/>
          <w:numId w:val="1002"/>
        </w:numPr>
        <w:pStyle w:val="Compact"/>
      </w:pPr>
      <w:r>
        <w:rPr>
          <w:bCs/>
          <w:b/>
        </w:rPr>
        <w:t xml:space="preserve">Talent Acquisition Shortage:</w:t>
      </w:r>
      <w:r>
        <w:t xml:space="preserve"> </w:t>
      </w:r>
      <w:r>
        <w:t xml:space="preserve">Colombo faces acute shortage of certified financial analytics professionals (only 150 qualified candidates citywide). This has delayed key client implementations by 4-6 weeks, affecting our sales pipeline velocity. As a Financial Analyst for this market, I recommend establishing a dedicated talent partnership with University of Colombo's Business School.</w:t>
      </w:r>
    </w:p>
    <w:bookmarkEnd w:id="25"/>
    <w:bookmarkStart w:id="26" w:name="strategic-recommendations"/>
    <w:p>
      <w:pPr>
        <w:pStyle w:val="Heading2"/>
      </w:pPr>
      <w:r>
        <w:t xml:space="preserve">Strategic Recommendations</w:t>
      </w:r>
    </w:p>
    <w:p>
      <w:pPr>
        <w:pStyle w:val="FirstParagraph"/>
      </w:pPr>
      <w:r>
        <w:t xml:space="preserve">Based on comprehensive analysis of Sri Lanka Colombo market data, I propose the following action-oriented strategies:</w:t>
      </w:r>
    </w:p>
    <w:p>
      <w:pPr>
        <w:numPr>
          <w:ilvl w:val="0"/>
          <w:numId w:val="1003"/>
        </w:numPr>
        <w:pStyle w:val="Compact"/>
      </w:pPr>
      <w:r>
        <w:rPr>
          <w:bCs/>
          <w:b/>
        </w:rPr>
        <w:t xml:space="preserve">Localized Product Suite:</w:t>
      </w:r>
      <w:r>
        <w:t xml:space="preserve"> </w:t>
      </w:r>
      <w:r>
        <w:t xml:space="preserve">Develop a LKR-denominated pricing model for our Financial Analytics Platform targeting SMEs in Colombo. This addresses currency volatility concerns while expanding our customer base by an estimated 40%.</w:t>
      </w:r>
    </w:p>
    <w:p>
      <w:pPr>
        <w:numPr>
          <w:ilvl w:val="0"/>
          <w:numId w:val="1003"/>
        </w:numPr>
        <w:pStyle w:val="Compact"/>
      </w:pPr>
      <w:r>
        <w:rPr>
          <w:bCs/>
          <w:b/>
        </w:rPr>
        <w:t xml:space="preserve">Regulatory Advisory Service:</w:t>
      </w:r>
      <w:r>
        <w:t xml:space="preserve"> </w:t>
      </w:r>
      <w:r>
        <w:t xml:space="preserve">Launch a new 'SEC Compliance Package' service exclusively for Colombo-based financial institutions, capitalizing on the new regulatory requirements. Projected revenue: $2.8M annually with 65% gross margins.</w:t>
      </w:r>
    </w:p>
    <w:p>
      <w:pPr>
        <w:numPr>
          <w:ilvl w:val="0"/>
          <w:numId w:val="1003"/>
        </w:numPr>
        <w:pStyle w:val="Compact"/>
      </w:pPr>
      <w:r>
        <w:rPr>
          <w:bCs/>
          <w:b/>
        </w:rPr>
        <w:t xml:space="preserve">Talent Development Initiative:</w:t>
      </w:r>
      <w:r>
        <w:t xml:space="preserve"> </w:t>
      </w:r>
      <w:r>
        <w:t xml:space="preserve">Partner with Lanka Institute of Banking &amp; Finance (LIBF) to create a certified Financial Analyst certification program for Colombo staff, targeting 30 new analysts by Q2 2024 to eliminate current talent bottlenecks.</w:t>
      </w:r>
    </w:p>
    <w:bookmarkEnd w:id="26"/>
    <w:bookmarkStart w:id="27" w:name="conclusion-forward-outlook"/>
    <w:p>
      <w:pPr>
        <w:pStyle w:val="Heading2"/>
      </w:pPr>
      <w:r>
        <w:t xml:space="preserve">Conclusion &amp; Forward Outlook</w:t>
      </w:r>
    </w:p>
    <w:p>
      <w:pPr>
        <w:pStyle w:val="FirstParagraph"/>
      </w:pPr>
      <w:r>
        <w:t xml:space="preserve">This Sales Report underscores the remarkable potential of our Colombo operations as a strategic growth engine for Sri Lanka. The Financial Analyst team's analysis confirms that despite macroeconomic challenges, our market position in Colombo has strengthened significantly through product alignment with national digital initiatives. Our Q3 results (12.1% YoY revenue growth) demonstrate resilience and strategic foresight, positioning us to capture 40% market share in Sri Lanka's financial analytics sector by 2025.</w:t>
      </w:r>
    </w:p>
    <w:p>
      <w:pPr>
        <w:pStyle w:val="BodyText"/>
      </w:pPr>
      <w:r>
        <w:t xml:space="preserve">As the dedicated Financial Analyst for Sri Lanka Colombo operations, I remain confident that implementing these recommendations will drive sustainable growth. The recent government investment in digital infrastructure – particularly the $150M Colombo Digital Hub project – creates unprecedented opportunities. I recommend allocating an additional 8% of our Q4 budget toward talent development and regulatory service expansion to capitalize on this moment.</w:t>
      </w:r>
    </w:p>
    <w:p>
      <w:pPr>
        <w:pStyle w:val="BodyText"/>
      </w:pPr>
      <w:r>
        <w:t xml:space="preserve">In closing, this Sales Report reaffirms that Colombo is not merely a market for our services but a strategic imperative for our regional success. The financial analysis presented here provides the actionable foundation needed to accelerate growth in Sri Lanka's most dynamic economic center. I stand ready to execute these strategies with the Financial Analyst team as we pursue leadership in South Asia's rapidly evolving financial technology landscape.</w:t>
      </w:r>
    </w:p>
    <w:p>
      <w:pPr>
        <w:pStyle w:val="BodyText"/>
      </w:pPr>
      <w:r>
        <w:rPr>
          <w:bCs/>
          <w:b/>
        </w:rPr>
        <w:t xml:space="preserve">Prepared by:</w:t>
      </w:r>
      <w:r>
        <w:br/>
      </w:r>
      <w:r>
        <w:t xml:space="preserve">Financial Analyst, Sri Lanka Colombo</w:t>
      </w:r>
      <w:r>
        <w:br/>
      </w:r>
      <w:r>
        <w:t xml:space="preserve">Global Sales Analytics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Sri Lanka Colombo Market</dc:title>
  <dc:creator/>
  <dc:language>en</dc:language>
  <cp:keywords/>
  <dcterms:created xsi:type="dcterms:W3CDTF">2026-07-21T03:24:10Z</dcterms:created>
  <dcterms:modified xsi:type="dcterms:W3CDTF">2026-07-21T03:24:10Z</dcterms:modified>
</cp:coreProperties>
</file>

<file path=docProps/custom.xml><?xml version="1.0" encoding="utf-8"?>
<Properties xmlns="http://schemas.openxmlformats.org/officeDocument/2006/custom-properties" xmlns:vt="http://schemas.openxmlformats.org/officeDocument/2006/docPropsVTypes"/>
</file>