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Perspective</w:t>
      </w:r>
    </w:p>
    <w:bookmarkStart w:id="29" w:name="Xdbb2bae8c385c0cd26a5869a23e40c7b2a72534"/>
    <w:p>
      <w:pPr>
        <w:pStyle w:val="Heading1"/>
      </w:pPr>
      <w:r>
        <w:t xml:space="preserve">Sales Performance Report: Financial Analyst Insights for Tanzania Dar es Salaam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Prepared By:</w:t>
      </w:r>
      <w:r>
        <w:t xml:space="preserve"> </w:t>
      </w:r>
      <w:r>
        <w:t xml:space="preserve">Financial Analysis Unit, Tanzania Operations</w:t>
      </w:r>
      <w:r>
        <w:br/>
      </w:r>
      <w:r>
        <w:rPr>
          <w:bCs/>
          <w:b/>
        </w:rPr>
        <w:t xml:space="preserve">Region Covered:</w:t>
      </w:r>
      <w:r>
        <w:t xml:space="preserve"> </w:t>
      </w:r>
      <w:r>
        <w:t xml:space="preserve">Dar es Salaam Metropolitan Area</w:t>
      </w:r>
    </w:p>
    <w:bookmarkStart w:id="20" w:name="i.-executive-summary"/>
    <w:p>
      <w:pPr>
        <w:pStyle w:val="Heading2"/>
      </w:pPr>
      <w:r>
        <w:t xml:space="preserve">I. Executive Summary</w:t>
      </w:r>
    </w:p>
    <w:p>
      <w:pPr>
        <w:pStyle w:val="FirstParagraph"/>
      </w:pPr>
      <w:r>
        <w:t xml:space="preserve">This Sales Report provides a comprehensive financial analysis of the current quarter's performance across key business verticals in Tanzania Dar es Salaam. The Financial Analyst team has identified significant growth opportunities and strategic imperatives for the sales function, directly contributing to our regional revenue targets. Despite macroeconomic headwinds in Tanzania, Dar es Salaam demonstrated resilience with a 12.3% year-over-year increase in sales pipeline value. The Financial Analyst unit's predictive modeling validated this trajectory, confirming that localized market understanding remains critical for sustainable growth in this dynamic East African hub.</w:t>
      </w:r>
    </w:p>
    <w:bookmarkEnd w:id="20"/>
    <w:bookmarkStart w:id="22" w:name="X3177d6aa03d97cd3a6441104bbd30f2645aa560"/>
    <w:p>
      <w:pPr>
        <w:pStyle w:val="Heading2"/>
      </w:pPr>
      <w:r>
        <w:t xml:space="preserve">II. Dar es Salaam Market Context: Economic and Competitive Landscape</w:t>
      </w:r>
    </w:p>
    <w:p>
      <w:pPr>
        <w:pStyle w:val="FirstParagraph"/>
      </w:pPr>
      <w:r>
        <w:t xml:space="preserve">Tanzania Dar es Salaam continues to serve as the nation's primary commercial engine, contributing over 40% of Tanzania's GDP. The city's strategic port infrastructure, burgeoning digital economy (evidenced by M-Pesa penetration exceeding 85% in urban zones), and proximity to key regional markets create unique sales opportunities. However, challenges persist: currency volatility (TZS/USD exchange rate fluctuations), inflationary pressures (2023 average at 4.8%), and sector-specific regulatory changes from the Bank of Tanzania. The Financial Analyst team has integrated these factors into all sales forecasting models for Dar es Salaam, ensuring recommendations remain grounded in local economic realities.</w:t>
      </w:r>
    </w:p>
    <w:bookmarkStart w:id="21" w:name="Xe4542a80aa727868edff4566544de5121092e66"/>
    <w:p>
      <w:pPr>
        <w:pStyle w:val="Heading3"/>
      </w:pPr>
      <w:r>
        <w:t xml:space="preserve">Key Market Trends Impacting Sales Strategy:</w:t>
      </w:r>
    </w:p>
    <w:p>
      <w:pPr>
        <w:numPr>
          <w:ilvl w:val="0"/>
          <w:numId w:val="1001"/>
        </w:numPr>
        <w:pStyle w:val="Compact"/>
      </w:pPr>
      <w:r>
        <w:rPr>
          <w:bCs/>
          <w:b/>
        </w:rPr>
        <w:t xml:space="preserve">Agri-Tech Demand Surge:</w:t>
      </w:r>
      <w:r>
        <w:t xml:space="preserve"> </w:t>
      </w:r>
      <w:r>
        <w:t xml:space="preserve">37% increase in sales inquiries from Dar es Salaam-based agribusinesses seeking financing solutions for export compliance and cold-chain logistics.</w:t>
      </w:r>
    </w:p>
    <w:p>
      <w:pPr>
        <w:numPr>
          <w:ilvl w:val="0"/>
          <w:numId w:val="1001"/>
        </w:numPr>
        <w:pStyle w:val="Compact"/>
      </w:pPr>
      <w:r>
        <w:rPr>
          <w:bCs/>
          <w:b/>
        </w:rPr>
        <w:t xml:space="preserve">Infrastructure Investment Push:</w:t>
      </w:r>
      <w:r>
        <w:t xml:space="preserve"> </w:t>
      </w:r>
      <w:r>
        <w:t xml:space="preserve">Government's Dar es Salaam Urban Development Program (DUDP) fuels demand for logistics and supply chain financing among local manufacturers.</w:t>
      </w:r>
    </w:p>
    <w:bookmarkEnd w:id="21"/>
    <w:bookmarkEnd w:id="22"/>
    <w:bookmarkStart w:id="25" w:name="X59ad3d3d046e59e8d4587c8b8bf3cc88ba58a06"/>
    <w:p>
      <w:pPr>
        <w:pStyle w:val="Heading2"/>
      </w:pPr>
      <w:r>
        <w:t xml:space="preserve">III. Sales Performance Analysis: Financial Analyst Findings</w:t>
      </w:r>
    </w:p>
    <w:p>
      <w:pPr>
        <w:pStyle w:val="FirstParagraph"/>
      </w:pPr>
      <w:r>
        <w:t xml:space="preserve">The Financial Analyst team conducted a granular review of the Q3 2023 sales data, focusing on revenue attribution, customer acquisition costs (CAC), and lifetime value (LTV) within Tanzania Dar es Salaam. Our analysis reveals two critical insights:</w:t>
      </w:r>
    </w:p>
    <w:bookmarkStart w:id="23" w:name="a.-sector-specific-performance-breakdown"/>
    <w:p>
      <w:pPr>
        <w:pStyle w:val="Heading3"/>
      </w:pPr>
      <w:r>
        <w:t xml:space="preserve">A. Sector-Specific Performance Breakdown</w:t>
      </w:r>
    </w:p>
    <w:p>
      <w:pPr>
        <w:pStyle w:val="FirstParagraph"/>
      </w:pPr>
      <w:r>
        <w:t xml:space="preserve">Sector</w:t>
      </w:r>
    </w:p>
    <w:p>
      <w:pPr>
        <w:pStyle w:val="BodyText"/>
      </w:pPr>
      <w:r>
        <w:t xml:space="preserve">Q3 Revenue (TZS)</w:t>
      </w:r>
    </w:p>
    <w:p>
      <w:pPr>
        <w:pStyle w:val="BodyText"/>
      </w:pPr>
      <w:r>
        <w:t xml:space="preserve">YoY Growth</w:t>
      </w:r>
    </w:p>
    <w:p>
      <w:pPr>
        <w:pStyle w:val="BodyText"/>
      </w:pPr>
      <w:r>
        <w:t xml:space="preserve">LTV:CAC Ratio</w:t>
      </w:r>
    </w:p>
    <w:p>
      <w:pPr>
        <w:pStyle w:val="BodyText"/>
      </w:pPr>
      <w:r>
        <w:t xml:space="preserve">Manufacturing &amp; Export</w:t>
      </w:r>
    </w:p>
    <w:p>
      <w:pPr>
        <w:pStyle w:val="BodyText"/>
      </w:pPr>
      <w:r>
        <w:t xml:space="preserve">14.2B TZS</w:t>
      </w:r>
    </w:p>
    <w:p>
      <w:pPr>
        <w:pStyle w:val="BodyText"/>
      </w:pPr>
      <w:r>
        <w:t xml:space="preserve">+18.7%</w:t>
      </w:r>
    </w:p>
    <w:p>
      <w:pPr>
        <w:pStyle w:val="BodyText"/>
      </w:pPr>
      <w:r>
        <w:t xml:space="preserve">5.2x</w:t>
      </w:r>
    </w:p>
    <w:p>
      <w:pPr>
        <w:pStyle w:val="BodyText"/>
      </w:pPr>
      <w:r>
        <w:t xml:space="preserve">Retail &amp; E-commerce</w:t>
      </w:r>
    </w:p>
    <w:p>
      <w:pPr>
        <w:pStyle w:val="BodyText"/>
      </w:pPr>
      <w:r>
        <w:t xml:space="preserve">9.8B TZS</w:t>
      </w:r>
    </w:p>
    <w:p>
      <w:pPr>
        <w:pStyle w:val="BodyText"/>
      </w:pPr>
      <w:r>
        <w:rPr>
          <w:bCs/>
          <w:b/>
        </w:rPr>
        <w:t xml:space="preserve">Total Dar es Salaam Revenue (Q3)</w:t>
      </w:r>
    </w:p>
    <w:p>
      <w:pPr>
        <w:pStyle w:val="BodyText"/>
      </w:pPr>
      <w:r>
        <w:rPr>
          <w:bCs/>
          <w:b/>
        </w:rPr>
        <w:t xml:space="preserve">52.6B TZS | +12.3% YoY</w:t>
      </w:r>
      <w:r>
        <w:t xml:space="preserve"> </w:t>
      </w:r>
      <w:r>
        <w:t xml:space="preserve">(Exceeding Target by 8.6%)</w:t>
      </w:r>
    </w:p>
    <w:p>
      <w:pPr>
        <w:pStyle w:val="BodyText"/>
      </w:pPr>
      <w:r>
        <w:rPr>
          <w:iCs/>
          <w:i/>
        </w:rPr>
        <w:t xml:space="preserve">The Financial Analyst noted that the Manufacturing &amp; Export sector outperformed due to strategic partnerships with Dar es Salaam's export processing zones (e.g., Jangwani Industrial Estate), where localized financial products reduced client onboarding time by 33%.</w:t>
      </w:r>
    </w:p>
    <w:bookmarkEnd w:id="23"/>
    <w:bookmarkStart w:id="24" w:name="b.-critical-sales-efficiency-metrics"/>
    <w:p>
      <w:pPr>
        <w:pStyle w:val="Heading3"/>
      </w:pPr>
      <w:r>
        <w:t xml:space="preserve">B. Critical Sales Efficiency Metrics</w:t>
      </w:r>
    </w:p>
    <w:p>
      <w:pPr>
        <w:numPr>
          <w:ilvl w:val="0"/>
          <w:numId w:val="1002"/>
        </w:numPr>
        <w:pStyle w:val="Compact"/>
      </w:pPr>
      <w:r>
        <w:rPr>
          <w:bCs/>
          <w:b/>
        </w:rPr>
        <w:t xml:space="preserve">Lead-to-Customer Conversion:</w:t>
      </w:r>
      <w:r>
        <w:t xml:space="preserve"> </w:t>
      </w:r>
      <w:r>
        <w:t xml:space="preserve">Improved to 28.5% (vs. 24.1% in Q2), directly attributed to Financial Analyst-recommended sales scripts incorporating Tanzania-specific regulatory compliance checkpoints.</w:t>
      </w:r>
    </w:p>
    <w:p>
      <w:pPr>
        <w:numPr>
          <w:ilvl w:val="0"/>
          <w:numId w:val="1002"/>
        </w:numPr>
        <w:pStyle w:val="Compact"/>
      </w:pPr>
      <w:r>
        <w:rPr>
          <w:bCs/>
          <w:b/>
        </w:rPr>
        <w:t xml:space="preserve">Customer Retention Rate:</w:t>
      </w:r>
      <w:r>
        <w:t xml:space="preserve"> </w:t>
      </w:r>
      <w:r>
        <w:t xml:space="preserve">At 89% for Dar es Salaam clients – significantly above the regional average of 76%, driven by the Financial Analyst's quarterly financial health assessments for key accounts.</w:t>
      </w:r>
    </w:p>
    <w:p>
      <w:pPr>
        <w:numPr>
          <w:ilvl w:val="0"/>
          <w:numId w:val="1002"/>
        </w:numPr>
        <w:pStyle w:val="Compact"/>
      </w:pPr>
      <w:r>
        <w:rPr>
          <w:bCs/>
          <w:b/>
        </w:rPr>
        <w:t xml:space="preserve">Cost of Acquisition (CoA):</w:t>
      </w:r>
      <w:r>
        <w:t xml:space="preserve"> </w:t>
      </w:r>
      <w:r>
        <w:t xml:space="preserve">Reduced by 15% through optimized digital lead generation aligned with Dar es Salaam's mobile-first consumer behavior patterns.</w:t>
      </w:r>
    </w:p>
    <w:bookmarkEnd w:id="24"/>
    <w:bookmarkEnd w:id="25"/>
    <w:bookmarkStart w:id="26" w:name="X4970c27eb893508de6659865822a66b3d5e76c2"/>
    <w:p>
      <w:pPr>
        <w:pStyle w:val="Heading2"/>
      </w:pPr>
      <w:r>
        <w:t xml:space="preserve">IV. Strategic Recommendations from the Financial Analyst Unit</w:t>
      </w:r>
    </w:p>
    <w:p>
      <w:pPr>
        <w:pStyle w:val="FirstParagraph"/>
      </w:pPr>
      <w:r>
        <w:t xml:space="preserve">Based on deep market analysis within Tanzania Dar es Salaam, the Financial Analyst team proposes these actionable sales strategies:</w:t>
      </w:r>
    </w:p>
    <w:p>
      <w:pPr>
        <w:numPr>
          <w:ilvl w:val="0"/>
          <w:numId w:val="1003"/>
        </w:numPr>
        <w:pStyle w:val="Compact"/>
      </w:pPr>
      <w:r>
        <w:rPr>
          <w:bCs/>
          <w:b/>
        </w:rPr>
        <w:t xml:space="preserve">Expand Agri-Finance Product Suite:</w:t>
      </w:r>
      <w:r>
        <w:t xml:space="preserve"> </w:t>
      </w:r>
      <w:r>
        <w:t xml:space="preserve">Develop tailored financing for Dar es Salaam's horticultural exporters (accounting for 52% of city exports), leveraging our Financial Analyst's supply chain risk modeling to offer dynamic pricing based on export seasonality.</w:t>
      </w:r>
    </w:p>
    <w:p>
      <w:pPr>
        <w:numPr>
          <w:ilvl w:val="0"/>
          <w:numId w:val="1003"/>
        </w:numPr>
        <w:pStyle w:val="Compact"/>
      </w:pPr>
      <w:r>
        <w:rPr>
          <w:bCs/>
          <w:b/>
        </w:rPr>
        <w:t xml:space="preserve">Implement Mobile-First Sales Enablement:</w:t>
      </w:r>
      <w:r>
        <w:t xml:space="preserve"> </w:t>
      </w:r>
      <w:r>
        <w:t xml:space="preserve">Integrate M-Pesa API into all sales contracts; the Financial Analyst demonstrated that this reduces contract finalization time by 41% for Dar es Salaam SMEs.</w:t>
      </w:r>
    </w:p>
    <w:p>
      <w:pPr>
        <w:numPr>
          <w:ilvl w:val="0"/>
          <w:numId w:val="1003"/>
        </w:numPr>
        <w:pStyle w:val="Compact"/>
      </w:pPr>
      <w:r>
        <w:rPr>
          <w:bCs/>
          <w:b/>
        </w:rPr>
        <w:t xml:space="preserve">Create a Dar es Salaam Customer Advisory Board:</w:t>
      </w:r>
      <w:r>
        <w:t xml:space="preserve"> </w:t>
      </w:r>
      <w:r>
        <w:t xml:space="preserve">Facilitate quarterly sessions with top 10 local clients to co-design solutions, directly informed by the Financial Analyst's sectoral economic trend reports.</w:t>
      </w:r>
    </w:p>
    <w:p>
      <w:pPr>
        <w:numPr>
          <w:ilvl w:val="0"/>
          <w:numId w:val="1003"/>
        </w:numPr>
        <w:pStyle w:val="Compact"/>
      </w:pPr>
      <w:r>
        <w:rPr>
          <w:bCs/>
          <w:b/>
        </w:rPr>
        <w:t xml:space="preserve">Regulatory Compliance Integration:</w:t>
      </w:r>
      <w:r>
        <w:t xml:space="preserve"> </w:t>
      </w:r>
      <w:r>
        <w:t xml:space="preserve">Embed Bank of Tanzania (BoT) guidelines into CRM workflows; our analysis shows this reduced sales friction for 72% of new contracts in Dar es Salaam.</w:t>
      </w:r>
    </w:p>
    <w:bookmarkEnd w:id="26"/>
    <w:bookmarkStart w:id="28" w:name="X472729594f9b77e32d3a71b7732091ba84934bb"/>
    <w:p>
      <w:pPr>
        <w:pStyle w:val="Heading2"/>
      </w:pPr>
      <w:r>
        <w:t xml:space="preserve">V. Conclusion: The Strategic Value of the Financial Analyst in Tanzania Dar es Salaam</w:t>
      </w:r>
    </w:p>
    <w:p>
      <w:pPr>
        <w:pStyle w:val="FirstParagraph"/>
      </w:pPr>
      <w:r>
        <w:t xml:space="preserve">This Sales Report unequivocally demonstrates how the Financial Analyst role directly drives revenue growth in Tanzania Dar es Salaam. By translating complex economic data into actionable sales intelligence – whether identifying agri-tech investment windows or optimizing mobile payment integration – the Financial Analyst has become indispensable to our regional success. Our Q3 results confirm that deep local market knowledge, combined with rigorous financial analysis, is the differentiator in Tanzania's competitive landscape.</w:t>
      </w:r>
    </w:p>
    <w:p>
      <w:pPr>
        <w:pStyle w:val="BodyText"/>
      </w:pPr>
      <w:r>
        <w:t xml:space="preserve">Looking ahead, the Financial Analyst team will continue refining predictive models for Dar es Salaam's unique economic dynamics. We project a further 15% sales increase for Q4 2023 if these recommendations are implemented, directly supporting our national target of increasing Tanzania revenue share to 37% by FY2024. The success in Dar es Salaam proves that localized financial analysis isn't just supportive – it's the engine of scalable growth across East Africa.</w:t>
      </w:r>
    </w:p>
    <w:bookmarkStart w:id="27" w:name="X504bff85246b75ea4cb4bb4aef1a0bb3336c813"/>
    <w:p>
      <w:pPr>
        <w:pStyle w:val="Heading3"/>
      </w:pPr>
      <w:r>
        <w:t xml:space="preserve">Appendix: Key Financial Metrics for Tanzania Dar es Salaam</w:t>
      </w:r>
    </w:p>
    <w:p>
      <w:pPr>
        <w:numPr>
          <w:ilvl w:val="0"/>
          <w:numId w:val="1004"/>
        </w:numPr>
        <w:pStyle w:val="Compact"/>
      </w:pPr>
      <w:r>
        <w:t xml:space="preserve">Monthly Average Sales Cycle Duration: 14.2 days (vs. national avg. 18.7 days)</w:t>
      </w:r>
    </w:p>
    <w:p>
      <w:pPr>
        <w:numPr>
          <w:ilvl w:val="0"/>
          <w:numId w:val="1004"/>
        </w:numPr>
        <w:pStyle w:val="Compact"/>
      </w:pPr>
      <w:r>
        <w:t xml:space="preserve">Customer Acquisition Cost (CAC): 1,850,000 TZS (Below regional benchmark of 2,360,000 TZS)</w:t>
      </w:r>
    </w:p>
    <w:p>
      <w:pPr>
        <w:numPr>
          <w:ilvl w:val="0"/>
          <w:numId w:val="1004"/>
        </w:numPr>
        <w:pStyle w:val="Compact"/>
      </w:pPr>
      <w:r>
        <w:t xml:space="preserve">Dar es Salaam Contribution to Tanzania Revenue: 63% of total country sales</w:t>
      </w:r>
    </w:p>
    <w:p>
      <w:pPr>
        <w:pStyle w:val="FirstParagraph"/>
      </w:pPr>
      <w:r>
        <w:rPr>
          <w:bCs/>
          <w:b/>
        </w:rPr>
        <w:t xml:space="preserve">Prepared by:</w:t>
      </w:r>
      <w:r>
        <w:t xml:space="preserve"> </w:t>
      </w:r>
      <w:r>
        <w:t xml:space="preserve">Finance &amp; Strategy Department | Financial Analyst Team</w:t>
      </w:r>
      <w:r>
        <w:br/>
      </w:r>
      <w:r>
        <w:rPr>
          <w:bCs/>
          <w:b/>
        </w:rPr>
        <w:t xml:space="preserve">Organization:</w:t>
      </w:r>
      <w:r>
        <w:t xml:space="preserve"> </w:t>
      </w:r>
      <w:r>
        <w:t xml:space="preserve">East Africa Commercial Solutions (EACS)</w:t>
      </w:r>
      <w:r>
        <w:br/>
      </w:r>
      <w:r>
        <w:rPr>
          <w:bCs/>
          <w:b/>
        </w:rPr>
        <w:t xml:space="preserve">Contact:</w:t>
      </w:r>
      <w:r>
        <w:t xml:space="preserve"> </w:t>
      </w:r>
      <w:r>
        <w:t xml:space="preserve">finance.analysis@eacs.tz | +255 712 345678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Sales Performance Report: Financial Analyst Perspective</dc:title>
  <dc:creator/>
  <dc:language>en</dc:language>
  <cp:keywords/>
  <dcterms:created xsi:type="dcterms:W3CDTF">2025-12-13T06:25:00Z</dcterms:created>
  <dcterms:modified xsi:type="dcterms:W3CDTF">2025-12-13T06:25:00Z</dcterms:modified>
</cp:coreProperties>
</file>

<file path=docProps/custom.xml><?xml version="1.0" encoding="utf-8"?>
<Properties xmlns="http://schemas.openxmlformats.org/officeDocument/2006/custom-properties" xmlns:vt="http://schemas.openxmlformats.org/officeDocument/2006/docPropsVTypes"/>
</file>