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Financial</w:t>
      </w:r>
      <w:r>
        <w:t xml:space="preserve"> </w:t>
      </w:r>
      <w:r>
        <w:t xml:space="preserve">Analyst</w:t>
      </w:r>
      <w:r>
        <w:t xml:space="preserve"> </w:t>
      </w:r>
      <w:r>
        <w:t xml:space="preserve">Sales</w:t>
      </w:r>
      <w:r>
        <w:t xml:space="preserve"> </w:t>
      </w:r>
      <w:r>
        <w:t xml:space="preserve">Performance</w:t>
      </w:r>
      <w:r>
        <w:t xml:space="preserve"> </w:t>
      </w:r>
      <w:r>
        <w:t xml:space="preserve">Report:</w:t>
      </w:r>
      <w:r>
        <w:t xml:space="preserve"> </w:t>
      </w:r>
      <w:r>
        <w:t xml:space="preserve">Turkey</w:t>
      </w:r>
      <w:r>
        <w:t xml:space="preserve"> </w:t>
      </w:r>
      <w:r>
        <w:t xml:space="preserve">Istanbul</w:t>
      </w:r>
      <w:r>
        <w:t xml:space="preserve"> </w:t>
      </w:r>
      <w:r>
        <w:t xml:space="preserve">Market</w:t>
      </w:r>
    </w:p>
    <w:bookmarkStart w:id="27" w:name="X419b8508f9dc06f847798dd258e8018a9eabe91"/>
    <w:p>
      <w:pPr>
        <w:pStyle w:val="Heading1"/>
      </w:pPr>
      <w:r>
        <w:t xml:space="preserve">Comprehensive Sales Performance Report: Financial Analyst Impact in Istanbul, Turkey</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Executive Leadership, Regional Management &amp; Finance Department</w:t>
      </w:r>
      <w:r>
        <w:br/>
      </w:r>
      <w:r>
        <w:rPr>
          <w:bCs/>
          <w:b/>
        </w:rPr>
        <w:t xml:space="preserve">From:</w:t>
      </w:r>
      <w:r>
        <w:t xml:space="preserve"> </w:t>
      </w:r>
      <w:r>
        <w:t xml:space="preserve">Strategic Analytics &amp; Sales Performance Team</w:t>
      </w:r>
      <w:r>
        <w:br/>
      </w:r>
      <w:r>
        <w:rPr>
          <w:bCs/>
          <w:b/>
        </w:rPr>
        <w:t xml:space="preserve">Subject:</w:t>
      </w:r>
      <w:r>
        <w:t xml:space="preserve"> </w:t>
      </w:r>
      <w:r>
        <w:t xml:space="preserve">Q3 2023 Financial Analysis and Sales Strategy Recommendations for Istanbul Operations</w:t>
      </w:r>
    </w:p>
    <w:bookmarkStart w:id="20" w:name="i.-executive-summary"/>
    <w:p>
      <w:pPr>
        <w:pStyle w:val="Heading2"/>
      </w:pPr>
      <w:r>
        <w:t xml:space="preserve">I. Executive Summary</w:t>
      </w:r>
    </w:p>
    <w:p>
      <w:pPr>
        <w:pStyle w:val="FirstParagraph"/>
      </w:pPr>
      <w:r>
        <w:t xml:space="preserve">This report details the critical role of the Financial Analyst within our sales ecosystem in Turkey's dynamic Istanbul market. Analyzing Q3 performance across all product lines, we confirm a 14% year-over-year revenue growth (Y/Y) in Istanbul, directly attributable to data-driven sales strategies guided by Financial Analyst insights. Despite ongoing macroeconomic challenges including high inflation (67.5% YoY as of September 2023) and currency volatility, our Istanbul sales team outperformed regional targets by 8.3%. The Financial Analyst function was instrumental in forecasting market shifts, optimizing pricing models for the local YTL environment, and identifying high-potential customer segments within Istanbul's unique B2B landscape. This report outlines key findings and actionable recommendations to sustain growth.</w:t>
      </w:r>
    </w:p>
    <w:bookmarkEnd w:id="20"/>
    <w:bookmarkStart w:id="21" w:name="X0e64f6fb53c00759a3b8d58bc2f6a1200a33af6"/>
    <w:p>
      <w:pPr>
        <w:pStyle w:val="Heading2"/>
      </w:pPr>
      <w:r>
        <w:t xml:space="preserve">II. Istanbul Market Context: Sales Performance &amp; Financial Analysis Synergy</w:t>
      </w:r>
    </w:p>
    <w:p>
      <w:pPr>
        <w:pStyle w:val="FirstParagraph"/>
      </w:pPr>
      <w:r>
        <w:t xml:space="preserve">Istanbul remains Turkey's undisputed commercial epicenter, contributing over 35% of the nation's GDP and housing 18% of the country’s population. For our sales operations, this translates to intense competition across sectors including technology, manufacturing, and luxury retail. The Financial Analyst team at our Istanbul office has become indispensable in navigating these complexities. Unlike traditional sales reporting, our approach integrates real-time financial data with market intelligence:</w:t>
      </w:r>
    </w:p>
    <w:p>
      <w:pPr>
        <w:numPr>
          <w:ilvl w:val="0"/>
          <w:numId w:val="1001"/>
        </w:numPr>
        <w:pStyle w:val="Compact"/>
      </w:pPr>
      <w:r>
        <w:rPr>
          <w:bCs/>
          <w:b/>
        </w:rPr>
        <w:t xml:space="preserve">Dynamic Pricing Optimization:</w:t>
      </w:r>
      <w:r>
        <w:t xml:space="preserve"> </w:t>
      </w:r>
      <w:r>
        <w:t xml:space="preserve">Using Financial Analyst models, we adjusted pricing strategies for the Turkish Lira (YTL) volatility during Q3. This resulted in a 12% increase in gross margin on enterprise contracts compared to Q2.</w:t>
      </w:r>
    </w:p>
    <w:p>
      <w:pPr>
        <w:numPr>
          <w:ilvl w:val="0"/>
          <w:numId w:val="1001"/>
        </w:numPr>
        <w:pStyle w:val="Compact"/>
      </w:pPr>
      <w:r>
        <w:rPr>
          <w:bCs/>
          <w:b/>
        </w:rPr>
        <w:t xml:space="preserve">Cash Flow Forecasting Accuracy:</w:t>
      </w:r>
      <w:r>
        <w:t xml:space="preserve"> </w:t>
      </w:r>
      <w:r>
        <w:t xml:space="preserve">The Financial Analyst team reduced forecast errors by 37% through advanced scenario modeling, directly enabling sales teams to secure larger prepayment terms from key Istanbul clients like Garanti BBVA and Koç Holding affiliates.</w:t>
      </w:r>
    </w:p>
    <w:p>
      <w:pPr>
        <w:numPr>
          <w:ilvl w:val="0"/>
          <w:numId w:val="1001"/>
        </w:numPr>
        <w:pStyle w:val="Compact"/>
      </w:pPr>
      <w:r>
        <w:rPr>
          <w:bCs/>
          <w:b/>
        </w:rPr>
        <w:t xml:space="preserve">Customer Profitability Analysis:</w:t>
      </w:r>
      <w:r>
        <w:t xml:space="preserve"> </w:t>
      </w:r>
      <w:r>
        <w:t xml:space="preserve">By segmenting Istanbul customers using Financial Analyst metrics (e.g., LTV:CAC ratio), we identified 23 high-value accounts for targeted retention initiatives, contributing to a 19% reduction in churn among premium clients.</w:t>
      </w:r>
    </w:p>
    <w:bookmarkEnd w:id="21"/>
    <w:bookmarkStart w:id="22" w:name="X0dcae9a16d66ff0b3f2ad2ae62e920768d7fffe"/>
    <w:p>
      <w:pPr>
        <w:pStyle w:val="Heading2"/>
      </w:pPr>
      <w:r>
        <w:t xml:space="preserve">III. Key Sales Metrics Driven by Financial Analyst Insights</w:t>
      </w:r>
    </w:p>
    <w:p>
      <w:pPr>
        <w:pStyle w:val="FirstParagraph"/>
      </w:pPr>
      <w:r>
        <w:t xml:space="preserve">The following table illustrates how Financial Analyst-led analysis directly impacted sales outcomes in Istanbul:</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Sales KPI</w:t>
            </w:r>
          </w:p>
        </w:tc>
        <w:tc>
          <w:tcPr/>
          <w:p>
            <w:pPr>
              <w:pStyle w:val="Compact"/>
              <w:jc w:val="left"/>
            </w:pPr>
            <w:r>
              <w:t xml:space="preserve">Q3 2023 Performance</w:t>
            </w:r>
          </w:p>
        </w:tc>
        <w:tc>
          <w:tcPr/>
          <w:p>
            <w:pPr>
              <w:pStyle w:val="Compact"/>
              <w:jc w:val="left"/>
            </w:pPr>
            <w:r>
              <w:t xml:space="preserve">Y/Y Change</w:t>
            </w:r>
          </w:p>
        </w:tc>
        <w:tc>
          <w:tcPr/>
          <w:p>
            <w:pPr>
              <w:pStyle w:val="Compact"/>
              <w:jc w:val="left"/>
            </w:pPr>
            <w:r>
              <w:t xml:space="preserve">Financial Analyst Contribution</w:t>
            </w:r>
          </w:p>
        </w:tc>
      </w:tr>
      <w:tr>
        <w:tc>
          <w:tcPr/>
          <w:p>
            <w:pPr>
              <w:pStyle w:val="Compact"/>
              <w:jc w:val="left"/>
            </w:pPr>
            <w:r>
              <w:t xml:space="preserve">Revenue Growth (Istanbul)</w:t>
            </w:r>
          </w:p>
        </w:tc>
        <w:tc>
          <w:tcPr/>
          <w:p>
            <w:pPr>
              <w:pStyle w:val="Compact"/>
              <w:jc w:val="left"/>
            </w:pPr>
            <w:r>
              <w:t xml:space="preserve">$8.4M</w:t>
            </w:r>
          </w:p>
        </w:tc>
        <w:tc>
          <w:tcPr/>
          <w:p>
            <w:pPr>
              <w:pStyle w:val="Compact"/>
              <w:jc w:val="left"/>
            </w:pPr>
            <w:r>
              <w:t xml:space="preserve">+14%</w:t>
            </w:r>
          </w:p>
        </w:tc>
        <w:tc>
          <w:tcPr/>
          <w:p>
            <w:pPr>
              <w:pStyle w:val="Compact"/>
              <w:jc w:val="left"/>
            </w:pPr>
            <w:r>
              <w:t xml:space="preserve">Pricing model adjustments for YTL depreciation; targeting high-margin sectors (e.g., cloud solutions in manufacturing)</w:t>
            </w:r>
          </w:p>
        </w:tc>
      </w:tr>
      <w:tr>
        <w:tc>
          <w:tcPr/>
          <w:p>
            <w:pPr>
              <w:pStyle w:val="Compact"/>
              <w:jc w:val="left"/>
            </w:pPr>
            <w:r>
              <w:t xml:space="preserve">Net Promoter Score (NPS)</w:t>
            </w:r>
          </w:p>
        </w:tc>
        <w:tc>
          <w:tcPr/>
          <w:p>
            <w:pPr>
              <w:pStyle w:val="Compact"/>
              <w:jc w:val="left"/>
            </w:pPr>
            <w:r>
              <w:t xml:space="preserve">58</w:t>
            </w:r>
          </w:p>
        </w:tc>
        <w:tc>
          <w:tcPr/>
          <w:p>
            <w:pPr>
              <w:pStyle w:val="Compact"/>
              <w:jc w:val="left"/>
            </w:pPr>
            <w:r>
              <w:t xml:space="preserve">+12 pts</w:t>
            </w:r>
          </w:p>
        </w:tc>
        <w:tc>
          <w:tcPr/>
          <w:p>
            <w:pPr>
              <w:pStyle w:val="Compact"/>
              <w:jc w:val="left"/>
            </w:pPr>
            <w:r>
              <w:t xml:space="preserve">Financial Analyst identified cost-optimization opportunities for clients, improving perceived value during economic stress</w:t>
            </w:r>
          </w:p>
        </w:tc>
      </w:tr>
      <w:tr>
        <w:tc>
          <w:tcPr/>
          <w:p>
            <w:pPr>
              <w:pStyle w:val="Compact"/>
              <w:jc w:val="left"/>
            </w:pPr>
            <w:r>
              <w:t xml:space="preserve">Deal Velocity (Days to Close)</w:t>
            </w:r>
          </w:p>
        </w:tc>
        <w:tc>
          <w:tcPr/>
          <w:p>
            <w:pPr>
              <w:pStyle w:val="Compact"/>
              <w:jc w:val="left"/>
            </w:pPr>
            <w:r>
              <w:t xml:space="preserve">42 days</w:t>
            </w:r>
          </w:p>
        </w:tc>
        <w:tc>
          <w:tcPr/>
          <w:p>
            <w:pPr>
              <w:pStyle w:val="Compact"/>
              <w:jc w:val="left"/>
            </w:pPr>
            <w:r>
              <w:t xml:space="preserve">-18%</w:t>
            </w:r>
          </w:p>
        </w:tc>
        <w:tc>
          <w:tcPr/>
          <w:p>
            <w:pPr>
              <w:pStyle w:val="Compact"/>
              <w:jc w:val="left"/>
            </w:pPr>
            <w:r>
              <w:t xml:space="preserve">Dynamic credit assessment models reduced sales cycle friction by 22%</w:t>
            </w:r>
          </w:p>
        </w:tc>
      </w:tr>
      <w:tr>
        <w:tc>
          <w:tcPr/>
          <w:p>
            <w:pPr>
              <w:pStyle w:val="Compact"/>
              <w:jc w:val="left"/>
            </w:pPr>
            <w:r>
              <w:t xml:space="preserve">Gross Margin per Deal</w:t>
            </w:r>
          </w:p>
        </w:tc>
        <w:tc>
          <w:tcPr/>
          <w:p>
            <w:pPr>
              <w:pStyle w:val="Compact"/>
              <w:jc w:val="left"/>
            </w:pPr>
            <w:r>
              <w:t xml:space="preserve">68.3%</w:t>
            </w:r>
          </w:p>
        </w:tc>
        <w:tc>
          <w:tcPr/>
          <w:p>
            <w:pPr>
              <w:pStyle w:val="Compact"/>
              <w:jc w:val="left"/>
            </w:pPr>
            <w:r>
              <w:t xml:space="preserve">+5.1 pts</w:t>
            </w:r>
          </w:p>
        </w:tc>
        <w:tc>
          <w:tcPr/>
          <w:p>
            <w:pPr>
              <w:pStyle w:val="Compact"/>
              <w:jc w:val="left"/>
            </w:pPr>
            <w:r>
              <w:t xml:space="preserve">Pricing strategy shifts based on Financial Analyst’s inflation-adjusted cost modeling</w:t>
            </w:r>
          </w:p>
        </w:tc>
      </w:tr>
    </w:tbl>
    <w:bookmarkEnd w:id="22"/>
    <w:bookmarkStart w:id="23" w:name="X58c2c7a00017fcc49f5c1aa2c0db6fb48c9bc79"/>
    <w:p>
      <w:pPr>
        <w:pStyle w:val="Heading2"/>
      </w:pPr>
      <w:r>
        <w:t xml:space="preserve">IV. Case Study: Istanbul Retail Sector Campaign</w:t>
      </w:r>
    </w:p>
    <w:p>
      <w:pPr>
        <w:pStyle w:val="FirstParagraph"/>
      </w:pPr>
      <w:r>
        <w:t xml:space="preserve">A targeted Q3 campaign for Istanbul-based retail clients exemplifies the Financial Analyst impact. The sales team aimed to penetrate the 100+ SME segment in Kadıköy and Beşiktaş districts. The Financial Analyst team provided:</w:t>
      </w:r>
    </w:p>
    <w:p>
      <w:pPr>
        <w:numPr>
          <w:ilvl w:val="0"/>
          <w:numId w:val="1002"/>
        </w:numPr>
        <w:pStyle w:val="Compact"/>
      </w:pPr>
      <w:r>
        <w:t xml:space="preserve">Market-specific data on seasonal spending patterns during Ramadan and Turkish National Day (October 29th)</w:t>
      </w:r>
    </w:p>
    <w:p>
      <w:pPr>
        <w:numPr>
          <w:ilvl w:val="0"/>
          <w:numId w:val="1002"/>
        </w:numPr>
        <w:pStyle w:val="Compact"/>
      </w:pPr>
      <w:r>
        <w:t xml:space="preserve">Cost-benefit analysis showing 17% higher ROI for bundled software + training packages versus standalone solutions</w:t>
      </w:r>
    </w:p>
    <w:p>
      <w:pPr>
        <w:numPr>
          <w:ilvl w:val="0"/>
          <w:numId w:val="1002"/>
        </w:numPr>
        <w:pStyle w:val="Compact"/>
      </w:pPr>
      <w:r>
        <w:t xml:space="preserve">Risk assessment of delayed payments in the current economic climate, enabling tailored payment terms</w:t>
      </w:r>
    </w:p>
    <w:p>
      <w:pPr>
        <w:pStyle w:val="FirstParagraph"/>
      </w:pPr>
      <w:r>
        <w:t xml:space="preserve">The result: 63 new retail clients acquired at a 28% higher average deal size than historical benchmarks. The Financial Analyst’s predictive model accurately forecasted that offering flexible YTL installment plans would increase conversion rates by 21%—a figure later validated by actual sales data. This campaign alone contributed $1.7M to Q3 revenue, exceeding targets by 29%.</w:t>
      </w:r>
    </w:p>
    <w:bookmarkEnd w:id="23"/>
    <w:bookmarkStart w:id="24" w:name="Xfb1f08af54618f7a5fef56251a96c045f78444a"/>
    <w:p>
      <w:pPr>
        <w:pStyle w:val="Heading2"/>
      </w:pPr>
      <w:r>
        <w:t xml:space="preserve">V. Challenges &amp; Financial Analyst Mitigation Strategies</w:t>
      </w:r>
    </w:p>
    <w:p>
      <w:pPr>
        <w:pStyle w:val="FirstParagraph"/>
      </w:pPr>
      <w:r>
        <w:t xml:space="preserve">Operating in Istanbul presents unique challenges requiring proactive Financial Analyst intervention:</w:t>
      </w:r>
    </w:p>
    <w:p>
      <w:pPr>
        <w:numPr>
          <w:ilvl w:val="0"/>
          <w:numId w:val="1003"/>
        </w:numPr>
        <w:pStyle w:val="Compact"/>
      </w:pPr>
      <w:r>
        <w:rPr>
          <w:bCs/>
          <w:b/>
        </w:rPr>
        <w:t xml:space="preserve">Hyperinflationary Environment:</w:t>
      </w:r>
      <w:r>
        <w:t xml:space="preserve"> </w:t>
      </w:r>
      <w:r>
        <w:t xml:space="preserve">The Financial Analyst team developed a real-time inflation-adjusted revenue tracking dashboard, allowing sales managers to renegotiate contracts quarterly instead of annually.</w:t>
      </w:r>
    </w:p>
    <w:p>
      <w:pPr>
        <w:numPr>
          <w:ilvl w:val="0"/>
          <w:numId w:val="1003"/>
        </w:numPr>
        <w:pStyle w:val="Compact"/>
      </w:pPr>
      <w:r>
        <w:rPr>
          <w:bCs/>
          <w:b/>
        </w:rPr>
        <w:t xml:space="preserve">Regulatory Complexity:</w:t>
      </w:r>
      <w:r>
        <w:t xml:space="preserve"> </w:t>
      </w:r>
      <w:r>
        <w:t xml:space="preserve">New Turkish Capital Market Board (CMB) reporting rules necessitated rapid data restructuring. Our Financial Analysts automated 95% of compliance documentation, preventing sales team operational delays.</w:t>
      </w:r>
    </w:p>
    <w:p>
      <w:pPr>
        <w:numPr>
          <w:ilvl w:val="0"/>
          <w:numId w:val="1003"/>
        </w:numPr>
        <w:pStyle w:val="Compact"/>
      </w:pPr>
      <w:r>
        <w:rPr>
          <w:bCs/>
          <w:b/>
        </w:rPr>
        <w:t xml:space="preserve">Cultural Nuances:</w:t>
      </w:r>
      <w:r>
        <w:t xml:space="preserve"> </w:t>
      </w:r>
      <w:r>
        <w:t xml:space="preserve">The Financial Analyst role incorporated local business etiquette into sales forecasting (e.g., accounting for "Ramadan effect" in quarterly planning), improving forecast alignment with field teams.</w:t>
      </w:r>
    </w:p>
    <w:bookmarkEnd w:id="24"/>
    <w:bookmarkStart w:id="25" w:name="X5065a086eedc49576037729438cc3f2c0f4e7e0"/>
    <w:p>
      <w:pPr>
        <w:pStyle w:val="Heading2"/>
      </w:pPr>
      <w:r>
        <w:t xml:space="preserve">VI. Strategic Recommendations for Istanbul Sales Success</w:t>
      </w:r>
    </w:p>
    <w:p>
      <w:pPr>
        <w:pStyle w:val="FirstParagraph"/>
      </w:pPr>
      <w:r>
        <w:t xml:space="preserve">To leverage the proven Financial Analyst impact, we propose the following actions:</w:t>
      </w:r>
    </w:p>
    <w:p>
      <w:pPr>
        <w:numPr>
          <w:ilvl w:val="0"/>
          <w:numId w:val="1004"/>
        </w:numPr>
        <w:pStyle w:val="Compact"/>
      </w:pPr>
      <w:r>
        <w:rPr>
          <w:bCs/>
          <w:b/>
        </w:rPr>
        <w:t xml:space="preserve">Expand Financial Analyst Integration:</w:t>
      </w:r>
      <w:r>
        <w:t xml:space="preserve"> </w:t>
      </w:r>
      <w:r>
        <w:t xml:space="preserve">Embed dedicated Financial Analysts within each sales team (currently 1:20 ratio) to increase on-the-ground support. Target: 1:15 ratio by Q2 2024.</w:t>
      </w:r>
    </w:p>
    <w:p>
      <w:pPr>
        <w:numPr>
          <w:ilvl w:val="0"/>
          <w:numId w:val="1004"/>
        </w:numPr>
        <w:pStyle w:val="Compact"/>
      </w:pPr>
      <w:r>
        <w:rPr>
          <w:bCs/>
          <w:b/>
        </w:rPr>
        <w:t xml:space="preserve">Istanbul-Specific Data Hub:</w:t>
      </w:r>
      <w:r>
        <w:t xml:space="preserve"> </w:t>
      </w:r>
      <w:r>
        <w:t xml:space="preserve">Develop a centralized platform aggregating local economic indicators (e.g., Istanbul Stock Exchange trends, regional import data) for real-time sales decision-making.</w:t>
      </w:r>
    </w:p>
    <w:p>
      <w:pPr>
        <w:numPr>
          <w:ilvl w:val="0"/>
          <w:numId w:val="1004"/>
        </w:numPr>
        <w:pStyle w:val="Compact"/>
      </w:pPr>
      <w:r>
        <w:rPr>
          <w:bCs/>
          <w:b/>
        </w:rPr>
        <w:t xml:space="preserve">Cross-Training Program:</w:t>
      </w:r>
      <w:r>
        <w:t xml:space="preserve"> </w:t>
      </w:r>
      <w:r>
        <w:t xml:space="preserve">Train top sales representatives in Financial Analyst fundamentals to improve data literacy and accelerate strategy implementation across the Istanbul team.</w:t>
      </w:r>
    </w:p>
    <w:p>
      <w:pPr>
        <w:numPr>
          <w:ilvl w:val="0"/>
          <w:numId w:val="1004"/>
        </w:numPr>
        <w:pStyle w:val="Compact"/>
      </w:pPr>
      <w:r>
        <w:rPr>
          <w:bCs/>
          <w:b/>
        </w:rPr>
        <w:t xml:space="preserve">Dynamic Incentive Structures:</w:t>
      </w:r>
      <w:r>
        <w:t xml:space="preserve"> </w:t>
      </w:r>
      <w:r>
        <w:t xml:space="preserve">Align 40% of sales compensation with Financial Analyst-defined metrics (e.g., margin sustainability, cash conversion cycles) rather than pure revenue targets.</w:t>
      </w:r>
    </w:p>
    <w:bookmarkEnd w:id="25"/>
    <w:bookmarkStart w:id="26" w:name="vii.-conclusion"/>
    <w:p>
      <w:pPr>
        <w:pStyle w:val="Heading2"/>
      </w:pPr>
      <w:r>
        <w:t xml:space="preserve">VII. Conclusion</w:t>
      </w:r>
    </w:p>
    <w:p>
      <w:pPr>
        <w:pStyle w:val="FirstParagraph"/>
      </w:pPr>
      <w:r>
        <w:t xml:space="preserve">The role of the Financial Analyst has evolved from a back-office function to the strategic engine driving sales performance in Istanbul. In a market where currency fluctuations, regulatory shifts, and consumer behavior changes occur at pace, our Financial Analysts provide the predictive clarity that enables sales teams to outperform competitors. The Q3 results demonstrate that integrating Financial Analyst insights into sales operations is not merely beneficial—it’s essential for sustainable growth in Turkey's most competitive market. We project a 20%+ revenue uplift for Istanbul in Q4 2023 by fully implementing these recommendations, positioning us to capitalize on Turkey's long-term economic potential while mitigating regional volatility. The Financial Analyst team’s work is the cornerstone of our sales success story in Istanbul.</w:t>
      </w:r>
    </w:p>
    <w:p>
      <w:pPr>
        <w:pStyle w:val="BodyText"/>
      </w:pPr>
      <w:r>
        <w:rPr>
          <w:bCs/>
          <w:b/>
        </w:rPr>
        <w:t xml:space="preserve">Prepared By:</w:t>
      </w:r>
      <w:r>
        <w:t xml:space="preserve"> </w:t>
      </w:r>
      <w:r>
        <w:t xml:space="preserve">Selin Aydın, Senior Financial Analyst &amp; Sales Strategy Lead | Istanbul</w:t>
      </w:r>
      <w:r>
        <w:br/>
      </w:r>
      <w:r>
        <w:rPr>
          <w:bCs/>
          <w:b/>
        </w:rPr>
        <w:t xml:space="preserve">Department:</w:t>
      </w:r>
      <w:r>
        <w:t xml:space="preserve"> </w:t>
      </w:r>
      <w:r>
        <w:t xml:space="preserve">Strategic Analytics, Turkey Division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Financial Analyst Sales Performance Report: Turkey Istanbul Market</dc:title>
  <dc:creator/>
  <dc:language>en</dc:language>
  <cp:keywords/>
  <dcterms:created xsi:type="dcterms:W3CDTF">2026-07-21T02:58:08Z</dcterms:created>
  <dcterms:modified xsi:type="dcterms:W3CDTF">2026-07-21T02:58:08Z</dcterms:modified>
</cp:coreProperties>
</file>

<file path=docProps/custom.xml><?xml version="1.0" encoding="utf-8"?>
<Properties xmlns="http://schemas.openxmlformats.org/officeDocument/2006/custom-properties" xmlns:vt="http://schemas.openxmlformats.org/officeDocument/2006/docPropsVTypes"/>
</file>