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p>
    <w:bookmarkStart w:id="29" w:name="X00e36c825de73e5cc7253fc5383639d30f0c41f"/>
    <w:p>
      <w:pPr>
        <w:pStyle w:val="Heading1"/>
      </w:pPr>
      <w:r>
        <w:t xml:space="preserve">Comprehensive Sales Performance Analysis &amp; Strategic Forecast: Abu Dhabi Financial Market (Q3 2023)</w:t>
      </w:r>
    </w:p>
    <w:bookmarkStart w:id="28" w:name="Xc5384f05010b77652e80e61a16992f8c75fe66f"/>
    <w:p>
      <w:pPr>
        <w:pStyle w:val="Heading2"/>
      </w:pPr>
      <w:r>
        <w:t xml:space="preserve">Presentation Prepared By: Senior Financial Analyst, UAE Regional Office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Location:</w:t>
      </w:r>
      <w:r>
        <w:t xml:space="preserve"> </w:t>
      </w:r>
      <w:r>
        <w:t xml:space="preserve">Abu Dhabi, United Arab Emirates</w:t>
      </w:r>
    </w:p>
    <w:bookmarkStart w:id="20" w:name="i.-executive-summary"/>
    <w:p>
      <w:pPr>
        <w:pStyle w:val="Heading3"/>
      </w:pPr>
      <w:r>
        <w:t xml:space="preserve">I. Executive Summary</w:t>
      </w:r>
    </w:p>
    <w:p>
      <w:pPr>
        <w:pStyle w:val="FirstParagraph"/>
      </w:pPr>
      <w:r>
        <w:t xml:space="preserve">This Sales Report provides an exhaustive analysis of our financial services performance across the United Arab Emirates Abu Dhabi market during Q3 2023. As a dedicated Financial Analyst operating within the dynamic economic ecosystem of Abu Dhabi, I have conducted rigorous data-driven assessment spanning retail banking, corporate finance, and wealth management segments. Our strategic positioning in Abu Dhabi has yielded significant growth metrics exceeding regional benchmarks by 18.7%, directly attributable to our enhanced client acquisition strategies and localized financial product development. This comprehensive Sales Report underscores how precision financial analysis catalyzes market leadership in the United Arab Emirates Abu Dhabi landscape.</w:t>
      </w:r>
    </w:p>
    <w:bookmarkEnd w:id="20"/>
    <w:bookmarkStart w:id="22" w:name="X86362148d26cc0db449685e15af9d25c28a063e"/>
    <w:p>
      <w:pPr>
        <w:pStyle w:val="Heading3"/>
      </w:pPr>
      <w:r>
        <w:t xml:space="preserve">II. Key Performance Indicators: Abu Dhabi Market Focus</w:t>
      </w:r>
    </w:p>
    <w:p>
      <w:pPr>
        <w:pStyle w:val="FirstParagraph"/>
      </w:pPr>
      <w:r>
        <w:t xml:space="preserve">The Financial Analyst team's meticulous examination of sales channels reveals critical insights for our Abu Dhabi operations:</w:t>
      </w:r>
    </w:p>
    <w:p>
      <w:pPr>
        <w:pStyle w:val="BodyText"/>
      </w:pPr>
      <w:r>
        <w:t xml:space="preserve">Performance Metric</w:t>
      </w:r>
    </w:p>
    <w:p>
      <w:pPr>
        <w:pStyle w:val="BodyText"/>
      </w:pPr>
      <w:r>
        <w:t xml:space="preserve">Q3 2023</w:t>
      </w:r>
    </w:p>
    <w:p>
      <w:pPr>
        <w:pStyle w:val="BodyText"/>
      </w:pPr>
      <w:r>
        <w:t xml:space="preserve">Q2 2023</w:t>
      </w:r>
    </w:p>
    <w:bookmarkStart w:id="21" w:name="yoy-change"/>
    <w:p>
      <w:pPr>
        <w:pStyle w:val="Heading4"/>
      </w:pPr>
      <w:r>
        <w:t xml:space="preserve">(YoY Change)</w:t>
      </w:r>
    </w:p>
    <w:p>
      <w:pPr>
        <w:pStyle w:val="FirstParagraph"/>
      </w:pPr>
      <w:r>
        <w:t xml:space="preserve">Sales Revenue (AED)</w:t>
      </w:r>
    </w:p>
    <w:p>
      <w:pPr>
        <w:pStyle w:val="BodyText"/>
      </w:pPr>
      <w:r>
        <w:t xml:space="preserve">1.87B</w:t>
      </w:r>
    </w:p>
    <w:p>
      <w:pPr>
        <w:pStyle w:val="BodyText"/>
      </w:pPr>
      <w:r>
        <w:t xml:space="preserve">1.69B</w:t>
      </w:r>
    </w:p>
    <w:p>
      <w:pPr>
        <w:pStyle w:val="BodyText"/>
      </w:pPr>
      <w:r>
        <w:t xml:space="preserve">+20.3%</w:t>
      </w:r>
    </w:p>
    <w:p>
      <w:pPr>
        <w:pStyle w:val="BodyText"/>
      </w:pPr>
      <w:r>
        <w:t xml:space="preserve">New Client Acquisition Rate</w:t>
      </w:r>
    </w:p>
    <w:p>
      <w:pPr>
        <w:pStyle w:val="BodyText"/>
      </w:pPr>
      <w:r>
        <w:t xml:space="preserve">&lt;</w:t>
      </w:r>
    </w:p>
    <w:p>
      <w:pPr>
        <w:pStyle w:val="BodyText"/>
      </w:pPr>
      <w:r>
        <w:t xml:space="preserve">426</w:t>
      </w:r>
    </w:p>
    <w:p>
      <w:pPr>
        <w:pStyle w:val="BodyText"/>
      </w:pPr>
      <w:r>
        <w:t xml:space="preserve">359</w:t>
      </w:r>
    </w:p>
    <w:p>
      <w:pPr>
        <w:pStyle w:val="BodyText"/>
      </w:pPr>
      <w:r>
        <w:rPr>
          <w:bCs/>
          <w:b/>
        </w:rPr>
        <w:t xml:space="preserve">(+18.7%)</w:t>
      </w:r>
    </w:p>
    <w:p>
      <w:pPr>
        <w:pStyle w:val="BodyText"/>
      </w:pPr>
      <w:r>
        <w:t xml:space="preserve">Cross-Sell Ratio (Products/Client)</w:t>
      </w:r>
    </w:p>
    <w:p>
      <w:pPr>
        <w:pStyle w:val="BodyText"/>
      </w:pPr>
      <w:r>
        <w:t xml:space="preserve">2.87x</w:t>
      </w:r>
    </w:p>
    <w:p>
      <w:pPr>
        <w:pStyle w:val="BodyText"/>
      </w:pPr>
      <w:r>
        <w:t xml:space="preserve">2.41x</w:t>
      </w:r>
    </w:p>
    <w:p>
      <w:pPr>
        <w:pStyle w:val="BodyText"/>
      </w:pPr>
      <w:r>
        <w:rPr>
          <w:bCs/>
          <w:b/>
        </w:rPr>
        <w:t xml:space="preserve">(+19.0%)</w:t>
      </w:r>
    </w:p>
    <w:p>
      <w:pPr>
        <w:pStyle w:val="BodyText"/>
      </w:pPr>
      <w:r>
        <w:t xml:space="preserve">Abu Dhabi Market Share Growth</w:t>
      </w:r>
    </w:p>
    <w:p>
      <w:pPr>
        <w:pStyle w:val="BodyText"/>
      </w:pPr>
      <w:r>
        <w:t xml:space="preserve">37.6%</w:t>
      </w:r>
    </w:p>
    <w:p>
      <w:pPr>
        <w:pStyle w:val="BodyText"/>
      </w:pPr>
      <w:r>
        <w:t xml:space="preserve">35.8%</w:t>
      </w:r>
    </w:p>
    <w:p>
      <w:pPr>
        <w:pStyle w:val="BodyText"/>
      </w:pPr>
      <w:r>
        <w:rPr>
          <w:bCs/>
          <w:b/>
        </w:rPr>
        <w:t xml:space="preserve">(+1.8 pts)</w:t>
      </w:r>
    </w:p>
    <w:p>
      <w:pPr>
        <w:pStyle w:val="BodyText"/>
      </w:pPr>
      <w:r>
        <w:t xml:space="preserve">This Sales Report demonstrates exceptional performance in the Abu Dhabi commercial hub, where we captured 29% of new enterprise banking contracts compared to 22% industry average. The Financial Analyst team attributed this success to our culturally nuanced client engagement frameworks developed specifically for United Arab Emirates Abu Dhabi business environments.</w:t>
      </w:r>
    </w:p>
    <w:bookmarkEnd w:id="21"/>
    <w:bookmarkEnd w:id="22"/>
    <w:bookmarkStart w:id="23" w:name="iii.-abu-dhabi-specific-market-analysis"/>
    <w:p>
      <w:pPr>
        <w:pStyle w:val="Heading3"/>
      </w:pPr>
      <w:r>
        <w:t xml:space="preserve">III. Abu Dhabi-Specific Market Analysis</w:t>
      </w:r>
    </w:p>
    <w:p>
      <w:pPr>
        <w:pStyle w:val="FirstParagraph"/>
      </w:pPr>
      <w:r>
        <w:t xml:space="preserve">Operating within the United Arab Emirates Abu Dhabi financial ecosystem requires hyper-localized market intelligence. As the Financial Analyst for this region, I conducted granular analysis of:</w:t>
      </w:r>
    </w:p>
    <w:p>
      <w:pPr>
        <w:numPr>
          <w:ilvl w:val="0"/>
          <w:numId w:val="1001"/>
        </w:numPr>
        <w:pStyle w:val="Compact"/>
      </w:pPr>
      <w:r>
        <w:rPr>
          <w:bCs/>
          <w:b/>
        </w:rPr>
        <w:t xml:space="preserve">Petroleum Sector Impact:</w:t>
      </w:r>
      <w:r>
        <w:t xml:space="preserve"> </w:t>
      </w:r>
      <w:r>
        <w:t xml:space="preserve">12% revenue contribution from oil &amp; gas clients despite global volatility, reflecting our strategic positioning in Abu Dhabi's core economic driver.</w:t>
      </w:r>
    </w:p>
    <w:p>
      <w:pPr>
        <w:numPr>
          <w:ilvl w:val="0"/>
          <w:numId w:val="1001"/>
        </w:numPr>
        <w:pStyle w:val="Compact"/>
      </w:pPr>
      <w:r>
        <w:rPr>
          <w:bCs/>
          <w:b/>
        </w:rPr>
        <w:t xml:space="preserve">Regulatory Adaptation:</w:t>
      </w:r>
      <w:r>
        <w:t xml:space="preserve"> </w:t>
      </w:r>
      <w:r>
        <w:t xml:space="preserve">Seamless compliance with Central Bank of UAE (CBUAE) regulations through specialized training modules developed for Abu Dhabi-based sales teams.</w:t>
      </w:r>
    </w:p>
    <w:p>
      <w:pPr>
        <w:numPr>
          <w:ilvl w:val="0"/>
          <w:numId w:val="1001"/>
        </w:numPr>
        <w:pStyle w:val="Compact"/>
      </w:pPr>
      <w:r>
        <w:rPr>
          <w:bCs/>
          <w:b/>
        </w:rPr>
        <w:t xml:space="preserve">Cultural Intelligence:</w:t>
      </w:r>
      <w:r>
        <w:t xml:space="preserve"> </w:t>
      </w:r>
      <w:r>
        <w:t xml:space="preserve">32% higher conversion rates among Emirati clients after implementing relationship-building protocols aligned with Abu Dhabi business etiquette.</w:t>
      </w:r>
    </w:p>
    <w:p>
      <w:pPr>
        <w:pStyle w:val="FirstParagraph"/>
      </w:pPr>
      <w:r>
        <w:t xml:space="preserve">The Sales Report identifies a pivotal opportunity in the rapidly expanding Abu Dhabi Free Zone (ADIZ) sector, where sales grew 41% YoY. Our Financial Analyst team developed a tailored 'Abu Dhabi Corporate Finance Package' that directly addressed ADIZ client needs, driving 63 new high-value accounts.</w:t>
      </w:r>
    </w:p>
    <w:bookmarkEnd w:id="23"/>
    <w:bookmarkStart w:id="24" w:name="X3543b67ba60f02cc21f857003d29d0e149f96a8"/>
    <w:p>
      <w:pPr>
        <w:pStyle w:val="Heading3"/>
      </w:pPr>
      <w:r>
        <w:t xml:space="preserve">IV. Strategic Recommendations for UAE Abu Dhabi Expansion</w:t>
      </w:r>
    </w:p>
    <w:p>
      <w:pPr>
        <w:pStyle w:val="FirstParagraph"/>
      </w:pPr>
      <w:r>
        <w:t xml:space="preserve">Based on this comprehensive Sales Report and deep market analysis, I propose these regionally focused initiatives:</w:t>
      </w:r>
    </w:p>
    <w:p>
      <w:pPr>
        <w:numPr>
          <w:ilvl w:val="0"/>
          <w:numId w:val="1002"/>
        </w:numPr>
        <w:pStyle w:val="Compact"/>
      </w:pPr>
      <w:r>
        <w:rPr>
          <w:bCs/>
          <w:b/>
        </w:rPr>
        <w:t xml:space="preserve">Abu Dhabi Wealth Management Hub:</w:t>
      </w:r>
      <w:r>
        <w:t xml:space="preserve"> </w:t>
      </w:r>
      <w:r>
        <w:t xml:space="preserve">Allocate AED 50M to establish a dedicated wealth advisory center in Abu Dhabi’s Financial District, targeting HNWIs (High Net Worth Individuals) identified through our Q3 client segmentation. Projected ROI: 28% by Q2 2024.</w:t>
      </w:r>
    </w:p>
    <w:p>
      <w:pPr>
        <w:numPr>
          <w:ilvl w:val="0"/>
          <w:numId w:val="1002"/>
        </w:numPr>
        <w:pStyle w:val="Compact"/>
      </w:pPr>
      <w:r>
        <w:rPr>
          <w:bCs/>
          <w:b/>
        </w:rPr>
        <w:t xml:space="preserve">SME Financing Accelerator:</w:t>
      </w:r>
      <w:r>
        <w:t xml:space="preserve"> </w:t>
      </w:r>
      <w:r>
        <w:t xml:space="preserve">Launch 'Abu Dhabi Growth Loan' product with Sharia-compliant financing options, addressing the specific credit needs of Abu Dhabi’s 78,000+ SMEs. Market analysis shows 93% of UAE SMEs require tailored financing solutions.</w:t>
      </w:r>
    </w:p>
    <w:p>
      <w:pPr>
        <w:numPr>
          <w:ilvl w:val="0"/>
          <w:numId w:val="1002"/>
        </w:numPr>
        <w:pStyle w:val="Compact"/>
      </w:pPr>
      <w:r>
        <w:rPr>
          <w:bCs/>
          <w:b/>
        </w:rPr>
        <w:t xml:space="preserve">Digital Sales Transformation:</w:t>
      </w:r>
      <w:r>
        <w:t xml:space="preserve"> </w:t>
      </w:r>
      <w:r>
        <w:t xml:space="preserve">Implement AI-driven client analytics platform (customized for United Arab Emirates Abu Dhabi cultural context) to boost sales team productivity by 25% within 18 months.</w:t>
      </w:r>
    </w:p>
    <w:bookmarkEnd w:id="24"/>
    <w:bookmarkStart w:id="25" w:name="X86d11a70ffb766f3bc0ad6e55768a424374eb7a"/>
    <w:p>
      <w:pPr>
        <w:pStyle w:val="Heading3"/>
      </w:pPr>
      <w:r>
        <w:t xml:space="preserve">V. Challenges in United Arab Emirates Abu Dhabi Market</w:t>
      </w:r>
    </w:p>
    <w:p>
      <w:pPr>
        <w:pStyle w:val="FirstParagraph"/>
      </w:pPr>
      <w:r>
        <w:t xml:space="preserve">Our Financial Analyst assessment identified critical challenges requiring immediate attention:</w:t>
      </w:r>
    </w:p>
    <w:p>
      <w:pPr>
        <w:numPr>
          <w:ilvl w:val="0"/>
          <w:numId w:val="1003"/>
        </w:numPr>
        <w:pStyle w:val="Compact"/>
      </w:pPr>
      <w:r>
        <w:rPr>
          <w:bCs/>
          <w:b/>
        </w:rPr>
        <w:t xml:space="preserve">Talent Acquisition Constraints:</w:t>
      </w:r>
      <w:r>
        <w:t xml:space="preserve"> </w:t>
      </w:r>
      <w:r>
        <w:t xml:space="preserve">62% of local financial professionals seek roles outside Abu Dhabi due to competitive compensation structures. Recommendation: Develop UAE-specific retention bonuses with performance-linked growth components.</w:t>
      </w:r>
    </w:p>
    <w:p>
      <w:pPr>
        <w:numPr>
          <w:ilvl w:val="0"/>
          <w:numId w:val="1003"/>
        </w:numPr>
        <w:pStyle w:val="Compact"/>
      </w:pPr>
      <w:r>
        <w:rPr>
          <w:bCs/>
          <w:b/>
        </w:rPr>
        <w:t xml:space="preserve">Regulatory Complexity:</w:t>
      </w:r>
      <w:r>
        <w:t xml:space="preserve"> </w:t>
      </w:r>
      <w:r>
        <w:t xml:space="preserve">CBUAE's 2023 digital banking guidelines require system overhauls. The Financial Analyst team is currently mapping all sales channels for compliance readiness by Q1 2024.</w:t>
      </w:r>
    </w:p>
    <w:p>
      <w:pPr>
        <w:numPr>
          <w:ilvl w:val="0"/>
          <w:numId w:val="1003"/>
        </w:numPr>
        <w:pStyle w:val="Compact"/>
      </w:pPr>
      <w:r>
        <w:rPr>
          <w:bCs/>
          <w:b/>
        </w:rPr>
        <w:t xml:space="preserve">Competitive Pressure:</w:t>
      </w:r>
      <w:r>
        <w:t xml:space="preserve"> </w:t>
      </w:r>
      <w:r>
        <w:t xml:space="preserve">Local banks have increased marketing spend by 34% in Abu Dhabi. Our Sales Report confirms the need for distinctive value proposition through our unique 'Abu Dhabi Financial Ecosystem' partnership model.</w:t>
      </w:r>
    </w:p>
    <w:bookmarkEnd w:id="25"/>
    <w:bookmarkStart w:id="26" w:name="Xab412b554f5066c8bf12e708486cd1af0f93463"/>
    <w:p>
      <w:pPr>
        <w:pStyle w:val="Heading3"/>
      </w:pPr>
      <w:r>
        <w:t xml:space="preserve">VI. Conclusion: The Strategic Imperative of Localized Financial Analysis</w:t>
      </w:r>
    </w:p>
    <w:p>
      <w:pPr>
        <w:pStyle w:val="FirstParagraph"/>
      </w:pPr>
      <w:r>
        <w:t xml:space="preserve">This Sales Report unequivocally demonstrates how embedded financial analysis drives market leadership in Abu Dhabi. Our Financial Analyst team's work has directly translated to a 20.3% revenue surge in the United Arab Emirates Abu Dhabi market – outperforming both regional averages and global competitors. The success stems from three pillars: cultural intelligence (understanding Abu Dhabi business practices), regulatory agility (adapting to UAE frameworks), and hyper-localized product development.</w:t>
      </w:r>
    </w:p>
    <w:p>
      <w:pPr>
        <w:pStyle w:val="BodyText"/>
      </w:pPr>
      <w:r>
        <w:t xml:space="preserve">As we enter Q4 2023, I recommend doubling down on Abu Dhabi-specific initiatives. The strategic investments proposed in this Sales Report will position us to capture 45%+ market share in Abu Dhabi's corporate finance segment by Q3 2024. This represents not just sales growth, but fundamental market leadership in the United Arab Emirates Abu Dhabi financial landscape.</w:t>
      </w:r>
    </w:p>
    <w:bookmarkEnd w:id="26"/>
    <w:bookmarkStart w:id="27" w:name="X87e028b2af88a9a575badfb5a0176cc21bd7baa"/>
    <w:p>
      <w:pPr>
        <w:pStyle w:val="Heading3"/>
      </w:pPr>
      <w:r>
        <w:t xml:space="preserve">VII. Financial Analyst Commitment Statement</w:t>
      </w:r>
    </w:p>
    <w:p>
      <w:pPr>
        <w:pStyle w:val="FirstParagraph"/>
      </w:pPr>
      <w:r>
        <w:t xml:space="preserve">As a Financial Analyst deeply embedded in Abu Dhabi's economic ecosystem, I affirm that all data presented reflects authentic regional performance. We will continue delivering precision-driven insights to optimize sales strategy across the United Arab Emirates Abu Dhabi market, ensuring our operations remain aligned with Abu Dhabi’s 2030 Economic Vision and UAE Central Bank directives. This Sales Report exemplifies how localized financial expertise creates sustainable competitive advantage in the Middle East's premier financial hub.</w:t>
      </w:r>
    </w:p>
    <w:p>
      <w:r>
        <w:pict>
          <v:rect style="width:0;height:1.5pt" o:hralign="center" o:hrstd="t" o:hr="t"/>
        </w:pict>
      </w:r>
    </w:p>
    <w:p>
      <w:pPr>
        <w:pStyle w:val="FirstParagraph"/>
      </w:pPr>
      <w:r>
        <w:rPr>
          <w:iCs/>
          <w:i/>
        </w:rPr>
        <w:t xml:space="preserve">Report Prepared By: Ahmed Al Marzouqi | Senior Financial Analyst, Gulf Operations</w:t>
      </w:r>
      <w:r>
        <w:br/>
      </w:r>
      <w:r>
        <w:rPr>
          <w:iCs/>
          <w:i/>
        </w:rPr>
        <w:t xml:space="preserve">Company: Emirates Capital Partners | Abu Dhabi Headquarters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Financial Analyst Sales Performance Report | United Arab Emirates</dc:title>
  <dc:creator/>
  <dc:language>en</dc:language>
  <cp:keywords/>
  <dcterms:created xsi:type="dcterms:W3CDTF">2026-09-28T01:13:12Z</dcterms:created>
  <dcterms:modified xsi:type="dcterms:W3CDTF">2026-09-28T01:13:12Z</dcterms:modified>
</cp:coreProperties>
</file>

<file path=docProps/custom.xml><?xml version="1.0" encoding="utf-8"?>
<Properties xmlns="http://schemas.openxmlformats.org/officeDocument/2006/custom-properties" xmlns:vt="http://schemas.openxmlformats.org/officeDocument/2006/docPropsVTypes"/>
</file>