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e36e78f1ceda1ff9296ffd3db4849648863667c"/>
    <w:p>
      <w:pPr>
        <w:pStyle w:val="Heading1"/>
      </w:pPr>
      <w:r>
        <w:t xml:space="preserve">Annual Sales Performance and Strategic Financial Analysis Report for the United Arab Emirates Dubai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Dubai International Financial Centre (DIFC) Board</w:t>
      </w:r>
      <w:r>
        <w:br/>
      </w:r>
      <w:r>
        <w:rPr>
          <w:bCs/>
          <w:b/>
        </w:rPr>
        <w:t xml:space="preserve">From:</w:t>
      </w:r>
      <w:r>
        <w:t xml:space="preserve"> </w:t>
      </w:r>
      <w:r>
        <w:t xml:space="preserve">Corporate Financial Analysis Department</w:t>
      </w:r>
    </w:p>
    <w:bookmarkStart w:id="20" w:name="i.-executive-summary"/>
    <w:p>
      <w:pPr>
        <w:pStyle w:val="Heading2"/>
      </w:pPr>
      <w:r>
        <w:t xml:space="preserve">I. Executive Summary</w:t>
      </w:r>
    </w:p>
    <w:p>
      <w:pPr>
        <w:pStyle w:val="FirstParagraph"/>
      </w:pPr>
      <w:r>
        <w:t xml:space="preserve">This comprehensive Sales Report details the financial performance and market dynamics of our organization across the United Arab Emirates Dubai region for Q1-Q4 2023. As a leading financial services provider in Dubai, our success is intrinsically linked to rigorous financial analysis conducted by our dedicated Financial Analyst team. This report confirms that strategic investments aligned with UAE economic diversification initiatives drove a 18.7% year-on-year revenue growth, reaching AED 425 million ($115.8 million) in Dubai operations alone. The Financial Analyst department's predictive modeling proved instrumental in navigating regional market volatility, particularly during the global energy sector adjustments impacting our Gulf clientele.</w:t>
      </w:r>
    </w:p>
    <w:bookmarkEnd w:id="20"/>
    <w:bookmarkStart w:id="21" w:name="X4dc1555f7f7d987a589a27edfaa7f55ce735dc0"/>
    <w:p>
      <w:pPr>
        <w:pStyle w:val="Heading2"/>
      </w:pPr>
      <w:r>
        <w:t xml:space="preserve">II. Market Context: United Arab Emirates Dubai</w:t>
      </w:r>
    </w:p>
    <w:p>
      <w:pPr>
        <w:pStyle w:val="FirstParagraph"/>
      </w:pPr>
      <w:r>
        <w:t xml:space="preserve">Dubai's economy continues to demonstrate exceptional resilience under the UAE Vision 2030 framework. As the commercial nerve center of the GCC, Dubai attracted $19.7 billion in foreign direct investment in 2023 (Dubai Statistics Centre), with finance and professional services contributing 58% of non-oil GDP. Our Sales Report identifies that 74% of new client acquisitions this year stemmed from sectors prioritized by UAE leadership: tourism (32%), real estate (28%), and fintech innovation (19%). The Financial Analyst team's regional market intelligence—tracking Dubai Multi Commodities Centre (DMCC) regulatory shifts and DIFC tax incentives—directly informed our sales strategy, enabling us to capitalize on Dubai's status as the world’s top destination for business expansion in the Middle East.</w:t>
      </w:r>
    </w:p>
    <w:bookmarkEnd w:id="21"/>
    <w:bookmarkStart w:id="22" w:name="iii.-sales-performance-analysis"/>
    <w:p>
      <w:pPr>
        <w:pStyle w:val="Heading2"/>
      </w:pPr>
      <w:r>
        <w:t xml:space="preserve">III. Sales Performance Analysis</w:t>
      </w:r>
    </w:p>
    <w:p>
      <w:pPr>
        <w:pStyle w:val="FirstParagraph"/>
      </w:pPr>
      <w:r>
        <w:rPr>
          <w:bCs/>
          <w:b/>
        </w:rPr>
        <w:t xml:space="preserve">Quarterly Revenue Breakdown (AED in Millions):</w:t>
      </w:r>
    </w:p>
    <w:p>
      <w:pPr>
        <w:pStyle w:val="BodyText"/>
      </w:pPr>
      <w:r>
        <w:t xml:space="preserve">Quarter</w:t>
      </w:r>
    </w:p>
    <w:p>
      <w:pPr>
        <w:pStyle w:val="BodyText"/>
      </w:pPr>
      <w:r>
        <w:t xml:space="preserve">Revenue</w:t>
      </w:r>
    </w:p>
    <w:p>
      <w:pPr>
        <w:pStyle w:val="BodyText"/>
      </w:pPr>
      <w:r>
        <w:t xml:space="preserve">% Growth vs Previous Qtr.</w:t>
      </w:r>
    </w:p>
    <w:p>
      <w:pPr>
        <w:pStyle w:val="BodyText"/>
      </w:pPr>
      <w:r>
        <w:t xml:space="preserve">Key Contributing Sectors</w:t>
      </w:r>
    </w:p>
    <w:p>
      <w:pPr>
        <w:pStyle w:val="BodyText"/>
      </w:pPr>
      <w:r>
        <w:t xml:space="preserve">Q1 2023</w:t>
      </w:r>
    </w:p>
    <w:p>
      <w:pPr>
        <w:pStyle w:val="BodyText"/>
      </w:pPr>
      <w:r>
        <w:t xml:space="preserve">95.6</w:t>
      </w:r>
    </w:p>
    <w:p>
      <w:pPr>
        <w:pStyle w:val="BodyText"/>
      </w:pPr>
      <w:r>
        <w:t xml:space="preserve">-</w:t>
      </w:r>
    </w:p>
    <w:p>
      <w:pPr>
        <w:pStyle w:val="BodyText"/>
      </w:pPr>
      <w:r>
        <w:t xml:space="preserve">Tourism (35%), Fintech (30%)</w:t>
      </w:r>
    </w:p>
    <w:p>
      <w:pPr>
        <w:pStyle w:val="BodyText"/>
      </w:pPr>
      <w:r>
        <w:t xml:space="preserve">Q2 2023</w:t>
      </w:r>
    </w:p>
    <w:p>
      <w:pPr>
        <w:pStyle w:val="BodyText"/>
      </w:pPr>
      <w:r>
        <w:t xml:space="preserve">&lt;&lt; td&gt;114.8 &lt; t d &gt; +20.1% &lt; t d &gt; Real Estate (45%), Logistics (35%)</w:t>
      </w:r>
    </w:p>
    <w:p>
      <w:pPr>
        <w:pStyle w:val="BodyText"/>
      </w:pPr>
      <w:r>
        <w:t xml:space="preserve">Q3 2023</w:t>
      </w:r>
    </w:p>
    <w:p>
      <w:pPr>
        <w:pStyle w:val="BodyText"/>
      </w:pPr>
      <w:r>
        <w:t xml:space="preserve">109.2</w:t>
      </w:r>
    </w:p>
    <w:p>
      <w:pPr>
        <w:pStyle w:val="BodyText"/>
      </w:pPr>
      <w:r>
        <w:t xml:space="preserve">-4.9%</w:t>
      </w:r>
    </w:p>
    <w:p>
      <w:pPr>
        <w:pStyle w:val="BodyText"/>
      </w:pPr>
      <w:r>
        <w:t xml:space="preserve">Healthcare (40%), Sustainable Finance (35%)</w:t>
      </w:r>
    </w:p>
    <w:p>
      <w:pPr>
        <w:pStyle w:val="BodyText"/>
      </w:pPr>
      <w:r>
        <w:t xml:space="preserve">Q4 2023</w:t>
      </w:r>
    </w:p>
    <w:p>
      <w:pPr>
        <w:pStyle w:val="BodyText"/>
      </w:pPr>
      <w:r>
        <w:t xml:space="preserve">105.4</w:t>
      </w:r>
    </w:p>
    <w:p>
      <w:pPr>
        <w:pStyle w:val="BodyText"/>
      </w:pPr>
      <w:r>
        <w:t xml:space="preserve">-3.5%</w:t>
      </w:r>
    </w:p>
    <w:p>
      <w:pPr>
        <w:pStyle w:val="BodyText"/>
      </w:pPr>
      <w:r>
        <w:t xml:space="preserve">Tourism (50%), Digital Transformation (30%)</w:t>
      </w:r>
    </w:p>
    <w:p>
      <w:pPr>
        <w:pStyle w:val="BodyText"/>
      </w:pPr>
      <w:r>
        <w:t xml:space="preserve">The Financial Analyst team identified that Dubai's Q2 real estate surge—driven by the new Dubai Land Department regulations—accounted for 28% of our quarterly growth. Crucially, our predictive model flagged emerging opportunities in sustainable finance during Q3, aligning with UAE's Net Zero 2050 strategy. This proactive insight enabled us to secure three major green investment portfolios worth AED 78 million ($21.3 million) before competitors entered the space.</w:t>
      </w:r>
    </w:p>
    <w:bookmarkEnd w:id="22"/>
    <w:bookmarkStart w:id="23" w:name="Xfb01dbfcaf1d48fbbe3b34caaf8c739858191c2"/>
    <w:p>
      <w:pPr>
        <w:pStyle w:val="Heading2"/>
      </w:pPr>
      <w:r>
        <w:t xml:space="preserve">IV. Critical Insights from the Financial Analyst Team</w:t>
      </w:r>
    </w:p>
    <w:p>
      <w:pPr>
        <w:pStyle w:val="FirstParagraph"/>
      </w:pPr>
      <w:r>
        <w:t xml:space="preserve">Our Financial Analyst department delivered three pivotal market insights directly impacting sales strategy:</w:t>
      </w:r>
    </w:p>
    <w:p>
      <w:pPr>
        <w:numPr>
          <w:ilvl w:val="0"/>
          <w:numId w:val="1001"/>
        </w:numPr>
        <w:pStyle w:val="Compact"/>
      </w:pPr>
      <w:r>
        <w:rPr>
          <w:bCs/>
          <w:b/>
        </w:rPr>
        <w:t xml:space="preserve">Dubai Real Estate Liquidity Shifts:</w:t>
      </w:r>
      <w:r>
        <w:t xml:space="preserve"> </w:t>
      </w:r>
      <w:r>
        <w:t xml:space="preserve">Analysis of Dubai Land Department transaction data revealed a 14% increase in commercial property sales velocity (Q2-Q3), prompting our sales team to prioritize high-net-worth client outreach. This initiative generated AED 45 million ($12.3 million) in new contracts.</w:t>
      </w:r>
    </w:p>
    <w:p>
      <w:pPr>
        <w:numPr>
          <w:ilvl w:val="0"/>
          <w:numId w:val="1001"/>
        </w:numPr>
        <w:pStyle w:val="Compact"/>
      </w:pPr>
      <w:r>
        <w:rPr>
          <w:bCs/>
          <w:b/>
        </w:rPr>
        <w:t xml:space="preserve">Tourism Sector Resilience:</w:t>
      </w:r>
      <w:r>
        <w:t xml:space="preserve"> </w:t>
      </w:r>
      <w:r>
        <w:t xml:space="preserve">Despite global travel disruptions, UAE government stimulus (e.g., visa simplifications for investors) created a 22% YoY jump in tourism-related financial services demand. Our Financial Analyst forecasted this trend using Dubai Airport traffic data, allowing us to expand sales teams at Al Maktoum International.</w:t>
      </w:r>
    </w:p>
    <w:p>
      <w:pPr>
        <w:numPr>
          <w:ilvl w:val="0"/>
          <w:numId w:val="1001"/>
        </w:numPr>
        <w:pStyle w:val="Compact"/>
      </w:pPr>
      <w:r>
        <w:rPr>
          <w:bCs/>
          <w:b/>
        </w:rPr>
        <w:t xml:space="preserve">Fintech Regulatory Alignment:</w:t>
      </w:r>
      <w:r>
        <w:t xml:space="preserve"> </w:t>
      </w:r>
      <w:r>
        <w:t xml:space="preserve">Early detection of DIFC's new digital assets licensing framework enabled our sales department to position ourselves as "compliance-ready" partners. This directly contributed to winning 47% of Dubai-based fintech client acquisitions in Q4.</w:t>
      </w:r>
    </w:p>
    <w:bookmarkEnd w:id="23"/>
    <w:bookmarkStart w:id="24" w:name="X400fdb001947ba3a58adea9b20c09bc3bd3f522"/>
    <w:p>
      <w:pPr>
        <w:pStyle w:val="Heading2"/>
      </w:pPr>
      <w:r>
        <w:t xml:space="preserve">V. Regional Challenges &amp; Financial Mitigation</w:t>
      </w:r>
    </w:p>
    <w:p>
      <w:pPr>
        <w:pStyle w:val="FirstParagraph"/>
      </w:pPr>
      <w:r>
        <w:t xml:space="preserve">The United Arab Emirates Dubai market presented three significant challenges requiring Financial Analyst intervention:</w:t>
      </w:r>
    </w:p>
    <w:p>
      <w:pPr>
        <w:numPr>
          <w:ilvl w:val="0"/>
          <w:numId w:val="1002"/>
        </w:numPr>
        <w:pStyle w:val="Compact"/>
      </w:pPr>
      <w:r>
        <w:rPr>
          <w:bCs/>
          <w:b/>
        </w:rPr>
        <w:t xml:space="preserve">Global Oil Volatility (Q3):</w:t>
      </w:r>
      <w:r>
        <w:t xml:space="preserve"> </w:t>
      </w:r>
      <w:r>
        <w:t xml:space="preserve">When Brent crude prices dropped 18%, our Financial Analyst team modeled sector-specific impacts, identifying that Dubai-based energy clients needed customized cash-flow solutions. This prevented a projected 9% client attrition rate through targeted portfolio restructuring.</w:t>
      </w:r>
    </w:p>
    <w:p>
      <w:pPr>
        <w:numPr>
          <w:ilvl w:val="0"/>
          <w:numId w:val="1002"/>
        </w:numPr>
        <w:pStyle w:val="Compact"/>
      </w:pPr>
      <w:r>
        <w:rPr>
          <w:bCs/>
          <w:b/>
        </w:rPr>
        <w:t xml:space="preserve">Competition from Abu Dhabi Banks:</w:t>
      </w:r>
      <w:r>
        <w:t xml:space="preserve"> </w:t>
      </w:r>
      <w:r>
        <w:t xml:space="preserve">Analysis of ADCB and Etisalat Bank pricing strategies revealed their focus on SME segments, allowing our sales team to strategically niche into luxury asset management—a Dubai market gap worth AED 312 million annually (Dubai Chamber of Commerce data).</w:t>
      </w:r>
    </w:p>
    <w:p>
      <w:pPr>
        <w:numPr>
          <w:ilvl w:val="0"/>
          <w:numId w:val="1002"/>
        </w:numPr>
        <w:pStyle w:val="Compact"/>
      </w:pPr>
      <w:r>
        <w:rPr>
          <w:bCs/>
          <w:b/>
        </w:rPr>
        <w:t xml:space="preserve">Emiratisation Compliance Costs:</w:t>
      </w:r>
      <w:r>
        <w:t xml:space="preserve"> </w:t>
      </w:r>
      <w:r>
        <w:t xml:space="preserve">Our Financial Analysts quantified the ROI of UAE labor law compliance investments, demonstrating that higher local talent retention reduced client churn by 15% among Emirati-owned enterprises.</w:t>
      </w:r>
    </w:p>
    <w:bookmarkEnd w:id="24"/>
    <w:bookmarkStart w:id="25" w:name="vi.-strategic-recommendations-for-2024"/>
    <w:p>
      <w:pPr>
        <w:pStyle w:val="Heading2"/>
      </w:pPr>
      <w:r>
        <w:t xml:space="preserve">VI. Strategic Recommendations for 2024</w:t>
      </w:r>
    </w:p>
    <w:p>
      <w:pPr>
        <w:pStyle w:val="FirstParagraph"/>
      </w:pPr>
      <w:r>
        <w:t xml:space="preserve">Based on this Sales Report and Financial Analyst insights, we recommend three initiatives to strengthen Dubai market dominance:</w:t>
      </w:r>
    </w:p>
    <w:p>
      <w:pPr>
        <w:numPr>
          <w:ilvl w:val="0"/>
          <w:numId w:val="1003"/>
        </w:numPr>
        <w:pStyle w:val="Compact"/>
      </w:pPr>
      <w:r>
        <w:rPr>
          <w:bCs/>
          <w:b/>
        </w:rPr>
        <w:t xml:space="preserve">Launch "Dubai Green Finance Hub":</w:t>
      </w:r>
      <w:r>
        <w:t xml:space="preserve"> </w:t>
      </w:r>
      <w:r>
        <w:t xml:space="preserve">Leverage UAE's Net Zero 2050 goals to create dedicated sustainability product suites. The Financial Analyst team projects AED 87 million ($23.7 million) in annual revenue from this vertical by Q4 2024, aligning with Dubai Climate Strategy.</w:t>
      </w:r>
    </w:p>
    <w:p>
      <w:pPr>
        <w:numPr>
          <w:ilvl w:val="0"/>
          <w:numId w:val="1003"/>
        </w:numPr>
        <w:pStyle w:val="Compact"/>
      </w:pPr>
      <w:r>
        <w:rPr>
          <w:bCs/>
          <w:b/>
        </w:rPr>
        <w:t xml:space="preserve">Expand DIFC Sales Force:</w:t>
      </w:r>
      <w:r>
        <w:t xml:space="preserve"> </w:t>
      </w:r>
      <w:r>
        <w:t xml:space="preserve">Allocate 30% of new hiring to Financial Analysts specializing in Dubai regulatory frameworks (DMCC/DIFC), addressing a current 17-person deficit identified in our market gap analysis.</w:t>
      </w:r>
    </w:p>
    <w:p>
      <w:pPr>
        <w:numPr>
          <w:ilvl w:val="0"/>
          <w:numId w:val="1003"/>
        </w:numPr>
        <w:pStyle w:val="Compact"/>
      </w:pPr>
      <w:r>
        <w:rPr>
          <w:bCs/>
          <w:b/>
        </w:rPr>
        <w:t xml:space="preserve">Implement AI-Powered Client Analytics:</w:t>
      </w:r>
      <w:r>
        <w:t xml:space="preserve"> </w:t>
      </w:r>
      <w:r>
        <w:t xml:space="preserve">Integrate UAE government open data (e.g., Dubai Economic Council reports) into sales forecasting. Our Financial Analysts estimate this will increase lead conversion by 25% while reducing sales cycle time by 19 days in the United Arab Emirates Dubai market.</w:t>
      </w:r>
    </w:p>
    <w:bookmarkEnd w:id="25"/>
    <w:bookmarkStart w:id="26" w:name="vii.-conclusion"/>
    <w:p>
      <w:pPr>
        <w:pStyle w:val="Heading2"/>
      </w:pPr>
      <w:r>
        <w:t xml:space="preserve">VII. Conclusion</w:t>
      </w:r>
    </w:p>
    <w:p>
      <w:pPr>
        <w:pStyle w:val="FirstParagraph"/>
      </w:pPr>
      <w:r>
        <w:t xml:space="preserve">This Sales Report underscores that our success in the United Arab Emirates Dubai market is not accidental—it is engineered through sophisticated financial analysis delivered by our Financial Analyst department. The 18.7% revenue growth achieved this year demonstrates that strategic alignment with UAE economic priorities (diversification, sustainability, innovation) directly correlates with sales performance. As Dubai evolves into a global hub for Islamic finance and digital assets—projects like Dubai Blockchain Strategy and Abu Dhabi’s Sustainable Finance Framework—we will deepen our Financial Analyst capabilities to maintain market leadership.</w:t>
      </w:r>
    </w:p>
    <w:p>
      <w:pPr>
        <w:pStyle w:val="BodyText"/>
      </w:pPr>
      <w:r>
        <w:t xml:space="preserve">With the UAE government projecting 5-6% GDP growth for 2024 (World Bank), our Sales Report confirms that organizations investing in deep regional financial intelligence will outperform competitors. The Financial Analyst team’s role is no longer merely analytical—it is strategic, operational, and central to our Dubai market expansion roadmap. We recommend full executive support for the 2024 initiatives outlined to capture Dubai's projected $148 billion finance sector growth by 2030.</w:t>
      </w:r>
    </w:p>
    <w:p>
      <w:pPr>
        <w:pStyle w:val="BodyText"/>
      </w:pPr>
      <w:r>
        <w:rPr>
          <w:bCs/>
          <w:b/>
        </w:rPr>
        <w:t xml:space="preserve">Prepared with precision by the Corporate Financial Analysis Department</w:t>
      </w:r>
      <w:r>
        <w:br/>
      </w:r>
      <w:r>
        <w:rPr>
          <w:iCs/>
          <w:i/>
        </w:rPr>
        <w:t xml:space="preserve">Driving Data-Driven Sales Excellence Across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&amp; Financial Analysis Report: United Arab Emirates Dubai Market</dc:title>
  <dc:creator/>
  <dc:language>en</dc:language>
  <cp:keywords/>
  <dcterms:created xsi:type="dcterms:W3CDTF">2026-07-24T04:54:28Z</dcterms:created>
  <dcterms:modified xsi:type="dcterms:W3CDTF">2026-07-24T04:54:28Z</dcterms:modified>
</cp:coreProperties>
</file>

<file path=docProps/custom.xml><?xml version="1.0" encoding="utf-8"?>
<Properties xmlns="http://schemas.openxmlformats.org/officeDocument/2006/custom-properties" xmlns:vt="http://schemas.openxmlformats.org/officeDocument/2006/docPropsVTypes"/>
</file>