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United</w:t>
      </w:r>
      <w:r>
        <w:t xml:space="preserve"> </w:t>
      </w:r>
      <w:r>
        <w:t xml:space="preserve">Kingdom</w:t>
      </w:r>
      <w:r>
        <w:t xml:space="preserve"> </w:t>
      </w:r>
      <w:r>
        <w:t xml:space="preserve">Manchester</w:t>
      </w:r>
    </w:p>
    <w:bookmarkStart w:id="29" w:name="X8ff7e875a6744fba3068e1725320e5d3418604b"/>
    <w:p>
      <w:pPr>
        <w:pStyle w:val="Heading1"/>
      </w:pPr>
      <w:r>
        <w:t xml:space="preserve">Quarterly Sales Performance Report: Financial Analyst Contribution to Manchester Market Growth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United Kingdom Manchester Office</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strategic impact of our Financial Analyst team within the United Kingdom Manchester market. During Q3 2023, our dedicated Financial Analysts drove a remarkable 18.7% YoY growth in sales pipeline velocity through data-driven forecasting and client segmentation strategies. The United Kingdom Manchester office outperformed regional benchmarks by 24%, directly attributable to the analytical rigor of our Financial Analysts in identifying high-value opportunities within Manchester's evolving financial services landscape. This document underscores how integrating specialized Financial Analyst capabilities has become central to our sales success in this key UK market.</w:t>
      </w:r>
    </w:p>
    <w:bookmarkEnd w:id="20"/>
    <w:bookmarkStart w:id="22" w:name="X7d97cb68bf99281c15ee7096fcb2717533bde84"/>
    <w:p>
      <w:pPr>
        <w:pStyle w:val="Heading2"/>
      </w:pPr>
      <w:r>
        <w:t xml:space="preserve">II. Market Context: United Kingdom Manchester Landscape</w:t>
      </w:r>
    </w:p>
    <w:p>
      <w:pPr>
        <w:pStyle w:val="FirstParagraph"/>
      </w:pPr>
      <w:r>
        <w:t xml:space="preserve">Manchester continues to emerge as the second-largest financial hub in the United Kingdom, surpassing Edinburgh and Bristol in fintech investment. With over 57,000 financial services professionals employed across Greater Manchester (Office for National Statistics, Q2 2023), our target market represents a £12.8 billion annual opportunity. The United Kingdom Manchester office has strategically positioned itself to capture this growth through hyper-localized sales approaches – a methodology where Financial Analysts play the pivotal role in interpreting regional economic indicators.</w:t>
      </w:r>
    </w:p>
    <w:bookmarkStart w:id="21" w:name="X9c0f58aa505f0cfdbb962069e241a52a20d684f"/>
    <w:p>
      <w:pPr>
        <w:pStyle w:val="Heading3"/>
      </w:pPr>
      <w:r>
        <w:t xml:space="preserve">Key Manchester Market Insights Driving Sales Strategy:</w:t>
      </w:r>
    </w:p>
    <w:p>
      <w:pPr>
        <w:numPr>
          <w:ilvl w:val="0"/>
          <w:numId w:val="1001"/>
        </w:numPr>
        <w:pStyle w:val="Compact"/>
      </w:pPr>
      <w:r>
        <w:t xml:space="preserve">Manchester's fintech sector grew 32% YoY (2023), exceeding London's 19% growth</w:t>
      </w:r>
    </w:p>
    <w:p>
      <w:pPr>
        <w:numPr>
          <w:ilvl w:val="0"/>
          <w:numId w:val="1001"/>
        </w:numPr>
        <w:pStyle w:val="Compact"/>
      </w:pPr>
      <w:r>
        <w:t xml:space="preserve">78% of Manchester-based financial institutions require quarterly bespoke cash flow analysis (PwC UK Survey)</w:t>
      </w:r>
    </w:p>
    <w:p>
      <w:pPr>
        <w:numPr>
          <w:ilvl w:val="0"/>
          <w:numId w:val="1001"/>
        </w:numPr>
        <w:pStyle w:val="Compact"/>
      </w:pPr>
      <w:r>
        <w:t xml:space="preserve">Rising demand for ESG-compliant financial solutions (+41% year-on-year in Greater Manchester)</w:t>
      </w:r>
    </w:p>
    <w:bookmarkEnd w:id="21"/>
    <w:bookmarkEnd w:id="22"/>
    <w:bookmarkStart w:id="25" w:name="X4058cc06863bfe492a34986a0f258e58b2ef518"/>
    <w:p>
      <w:pPr>
        <w:pStyle w:val="Heading2"/>
      </w:pPr>
      <w:r>
        <w:t xml:space="preserve">III. Financial Analyst Impact on Sales Performance</w:t>
      </w:r>
    </w:p>
    <w:p>
      <w:pPr>
        <w:pStyle w:val="FirstParagraph"/>
      </w:pPr>
      <w:r>
        <w:t xml:space="preserve">The core of this Sales Report demonstrates how our Financial Analysts directly influenced revenue generation. By embedding analysts within sales teams, we achieved unprecedented alignment between data intelligence and client acquisition:</w:t>
      </w:r>
    </w:p>
    <w:bookmarkStart w:id="23" w:name="X464c67243d74448bb48cf94d14b2645d8b877e1"/>
    <w:p>
      <w:pPr>
        <w:pStyle w:val="Heading3"/>
      </w:pPr>
      <w:r>
        <w:t xml:space="preserve">A. Pipeline Acceleration (Manchester Office)</w:t>
      </w:r>
    </w:p>
    <w:p>
      <w:pPr>
        <w:pStyle w:val="FirstParagraph"/>
      </w:pPr>
      <w:r>
        <w:t xml:space="preserve">Metrics</w:t>
      </w:r>
    </w:p>
    <w:p>
      <w:pPr>
        <w:pStyle w:val="BodyText"/>
      </w:pPr>
      <w:r>
        <w:t xml:space="preserve">Q2 2023</w:t>
      </w:r>
    </w:p>
    <w:p>
      <w:pPr>
        <w:pStyle w:val="BodyText"/>
      </w:pPr>
      <w:r>
        <w:t xml:space="preserve">Q3 2023</w:t>
      </w:r>
    </w:p>
    <w:p>
      <w:pPr>
        <w:pStyle w:val="BodyText"/>
      </w:pPr>
      <w:r>
        <w:t xml:space="preserve">% Change</w:t>
      </w:r>
    </w:p>
    <w:p>
      <w:pPr>
        <w:pStyle w:val="BodyText"/>
      </w:pPr>
      <w:r>
        <w:t xml:space="preserve">Pipeline Value (GBP)</w:t>
      </w:r>
    </w:p>
    <w:p>
      <w:pPr>
        <w:pStyle w:val="BodyText"/>
      </w:pPr>
      <w:r>
        <w:t xml:space="preserve">£4.1M</w:t>
      </w:r>
    </w:p>
    <w:p>
      <w:pPr>
        <w:pStyle w:val="BodyText"/>
      </w:pPr>
      <w:r>
        <w:t xml:space="preserve">£4.8M</w:t>
      </w:r>
    </w:p>
    <w:p>
      <w:pPr>
        <w:pStyle w:val="BodyText"/>
      </w:pPr>
      <w:r>
        <w:t xml:space="preserve">+17.1%</w:t>
      </w:r>
    </w:p>
    <w:p>
      <w:pPr>
        <w:pStyle w:val="BodyText"/>
      </w:pPr>
      <w:r>
        <w:t xml:space="preserve">Deal Closure Rate</w:t>
      </w:r>
    </w:p>
    <w:p>
      <w:pPr>
        <w:pStyle w:val="BodyText"/>
      </w:pPr>
      <w:r>
        <w:t xml:space="preserve">32%</w:t>
      </w:r>
    </w:p>
    <w:p>
      <w:pPr>
        <w:pStyle w:val="BodyText"/>
      </w:pPr>
      <w:r>
        <w:t xml:space="preserve">42%</w:t>
      </w:r>
    </w:p>
    <w:p>
      <w:pPr>
        <w:pStyle w:val="BodyText"/>
      </w:pPr>
      <w:r>
        <w:t xml:space="preserve">Avg. Deal Size (GBP)</w:t>
      </w:r>
      <w:r>
        <w:rPr>
          <w:bCs/>
          <w:b/>
        </w:rPr>
        <w:t xml:space="preserve">+8%</w:t>
      </w:r>
      <w:r>
        <w:t xml:space="preserve"> </w:t>
      </w:r>
      <w:r>
        <w:t xml:space="preserve">(£15,700 → £16,960)</w:t>
      </w:r>
    </w:p>
    <w:p>
      <w:pPr>
        <w:pStyle w:val="BodyText"/>
      </w:pPr>
      <w:r>
        <w:t xml:space="preserve">Financial Analysts implemented Manchester-specific predictive models that identified high-intent clients in the commercial real estate and renewable energy sectors – two of the fastest-growing segments in United Kingdom Manchester. Their analysis revealed that 67% of qualified leads originated from financial institutions with &gt;£50M annual revenue, prompting our sales team to target this precise segment.</w:t>
      </w:r>
    </w:p>
    <w:bookmarkEnd w:id="23"/>
    <w:bookmarkStart w:id="24" w:name="b.-client-retention-expansion"/>
    <w:p>
      <w:pPr>
        <w:pStyle w:val="Heading3"/>
      </w:pPr>
      <w:r>
        <w:t xml:space="preserve">B. Client Retention &amp; Expansion</w:t>
      </w:r>
    </w:p>
    <w:p>
      <w:pPr>
        <w:pStyle w:val="FirstParagraph"/>
      </w:pPr>
      <w:r>
        <w:t xml:space="preserve">Financial Analysts conducted quarterly spend pattern analyses for 28 key Manchester clients, uncovering hidden expansion opportunities. By identifying unused service tiers in existing contracts (e.g., predictive analytics modules), they facilitated £1.2M in upsell revenue – representing 31% of total sales growth during the quarter. One notable case involved a Manchester-based asset manager where our Financial Analyst detected underutilized ESG compliance tools, leading to a £450k expansion deal.</w:t>
      </w:r>
    </w:p>
    <w:bookmarkEnd w:id="24"/>
    <w:bookmarkEnd w:id="25"/>
    <w:bookmarkStart w:id="26" w:name="X0177bfa8146391b6e0edc73fcbf11cb074204c9"/>
    <w:p>
      <w:pPr>
        <w:pStyle w:val="Heading2"/>
      </w:pPr>
      <w:r>
        <w:t xml:space="preserve">IV. United Kingdom Manchester Market Challenges Addressed</w:t>
      </w:r>
    </w:p>
    <w:p>
      <w:pPr>
        <w:pStyle w:val="FirstParagraph"/>
      </w:pPr>
      <w:r>
        <w:t xml:space="preserve">This Sales Report highlights how Financial Analysts mitigated critical regional challenges:</w:t>
      </w:r>
    </w:p>
    <w:p>
      <w:pPr>
        <w:numPr>
          <w:ilvl w:val="0"/>
          <w:numId w:val="1002"/>
        </w:numPr>
        <w:pStyle w:val="Compact"/>
      </w:pPr>
      <w:r>
        <w:rPr>
          <w:bCs/>
          <w:b/>
        </w:rPr>
        <w:t xml:space="preserve">Tax Regulation Shifts:</w:t>
      </w:r>
      <w:r>
        <w:t xml:space="preserve"> </w:t>
      </w:r>
      <w:r>
        <w:t xml:space="preserve">Analyzed new UK Finance Act 2023 implications for Manchester SMEs, enabling sales team to position our cash flow solution as a compliance necessity – directly securing 14 new enterprise contracts.</w:t>
      </w:r>
    </w:p>
    <w:p>
      <w:pPr>
        <w:numPr>
          <w:ilvl w:val="0"/>
          <w:numId w:val="1002"/>
        </w:numPr>
        <w:pStyle w:val="Compact"/>
      </w:pPr>
      <w:r>
        <w:rPr>
          <w:bCs/>
          <w:b/>
        </w:rPr>
        <w:t xml:space="preserve">Post-Brexit Market Volatility:</w:t>
      </w:r>
      <w:r>
        <w:t xml:space="preserve"> </w:t>
      </w:r>
      <w:r>
        <w:t xml:space="preserve">Developed Manchester-specific FX risk models that reduced client acquisition friction by 37% during Q3 currency fluctuations.</w:t>
      </w:r>
    </w:p>
    <w:p>
      <w:pPr>
        <w:numPr>
          <w:ilvl w:val="0"/>
          <w:numId w:val="1002"/>
        </w:numPr>
        <w:pStyle w:val="Compact"/>
      </w:pPr>
      <w:r>
        <w:rPr>
          <w:bCs/>
          <w:b/>
        </w:rPr>
        <w:t xml:space="preserve">Skill Shortage in Local Talent:</w:t>
      </w:r>
      <w:r>
        <w:t xml:space="preserve"> </w:t>
      </w:r>
      <w:r>
        <w:t xml:space="preserve">Financial Analysts created a talent pipeline report identifying high-potential candidates within Manchester universities (e.g., University of Manchester, MMU), reducing time-to-hire for local sales roles by 52%.</w:t>
      </w:r>
    </w:p>
    <w:bookmarkEnd w:id="26"/>
    <w:bookmarkStart w:id="27" w:name="Xf82ab952543e46405241bbbd371811508a2727b"/>
    <w:p>
      <w:pPr>
        <w:pStyle w:val="Heading2"/>
      </w:pPr>
      <w:r>
        <w:t xml:space="preserve">V. Strategic Recommendations for Next Quarter</w:t>
      </w:r>
    </w:p>
    <w:p>
      <w:pPr>
        <w:pStyle w:val="FirstParagraph"/>
      </w:pPr>
      <w:r>
        <w:t xml:space="preserve">Based on our Financial Analyst insights in the United Kingdom Manchester market, we propose:</w:t>
      </w:r>
    </w:p>
    <w:p>
      <w:pPr>
        <w:numPr>
          <w:ilvl w:val="0"/>
          <w:numId w:val="1003"/>
        </w:numPr>
        <w:pStyle w:val="Compact"/>
      </w:pPr>
      <w:r>
        <w:rPr>
          <w:bCs/>
          <w:b/>
        </w:rPr>
        <w:t xml:space="preserve">Expand ESG Analytics Suite:</w:t>
      </w:r>
      <w:r>
        <w:t xml:space="preserve"> </w:t>
      </w:r>
      <w:r>
        <w:t xml:space="preserve">Target 35+ Manchester-based firms with sustainability mandates by Q1 2024. Financial Analysts forecast £2.1M revenue opportunity from this niche.</w:t>
      </w:r>
    </w:p>
    <w:p>
      <w:pPr>
        <w:numPr>
          <w:ilvl w:val="0"/>
          <w:numId w:val="1003"/>
        </w:numPr>
        <w:pStyle w:val="Compact"/>
      </w:pPr>
      <w:r>
        <w:rPr>
          <w:bCs/>
          <w:b/>
        </w:rPr>
        <w:t xml:space="preserve">Manchester Market Intelligence Unit:</w:t>
      </w:r>
      <w:r>
        <w:t xml:space="preserve"> </w:t>
      </w:r>
      <w:r>
        <w:t xml:space="preserve">Establish a dedicated team within our United Kingdom Manchester office to monitor local economic indicators (e.g., CBI Manufacturing Index, GMCA business confidence data) in real-time.</w:t>
      </w:r>
    </w:p>
    <w:p>
      <w:pPr>
        <w:numPr>
          <w:ilvl w:val="0"/>
          <w:numId w:val="1003"/>
        </w:numPr>
        <w:pStyle w:val="Compact"/>
      </w:pPr>
      <w:r>
        <w:rPr>
          <w:bCs/>
          <w:b/>
        </w:rPr>
        <w:t xml:space="preserve">Sales-Data Integration Protocol:</w:t>
      </w:r>
      <w:r>
        <w:t xml:space="preserve"> </w:t>
      </w:r>
      <w:r>
        <w:t xml:space="preserve">Implement AI-driven sales analytics tools co-designed by Financial Analysts and sales leaders to reduce forecasting errors by 25%.</w:t>
      </w:r>
    </w:p>
    <w:bookmarkEnd w:id="27"/>
    <w:bookmarkStart w:id="28" w:name="vi.-conclusion"/>
    <w:p>
      <w:pPr>
        <w:pStyle w:val="Heading2"/>
      </w:pPr>
      <w:r>
        <w:t xml:space="preserve">VI. Conclusion</w:t>
      </w:r>
    </w:p>
    <w:p>
      <w:pPr>
        <w:pStyle w:val="FirstParagraph"/>
      </w:pPr>
      <w:r>
        <w:t xml:space="preserve">This comprehensive Sales Report confirms that the Financial Analyst role is no longer merely supportive but strategically central to our success in United Kingdom Manchester. Our analysts have transformed raw market data into actionable sales intelligence, driving measurable revenue growth where competitors rely on generic approaches. The £4.8M pipeline achieved in Q3 demonstrates how embedding Financial Analyst capabilities within sales operations creates a sustainable competitive advantage in this dynamic UK market.</w:t>
      </w:r>
    </w:p>
    <w:p>
      <w:pPr>
        <w:pStyle w:val="BodyText"/>
      </w:pPr>
      <w:r>
        <w:t xml:space="preserve">As Manchester continues to solidify its position as the UK's financial innovation epicenter, we commit to doubling down on Financial Analyst investments within our United Kingdom Manchester office. Future reports will track how this specialization directly correlates with market share gains against regional competitors like Barclays' Manchester hub and local fintechs. The data is unequivocal: In the United Kingdom Manchester landscape, where every 0.1% market share represents £680k in annual revenue, Financial Analysts are our most valuable sales assets.</w:t>
      </w:r>
    </w:p>
    <w:p>
      <w:pPr>
        <w:pStyle w:val="BodyText"/>
      </w:pPr>
      <w:r>
        <w:rPr>
          <w:bCs/>
          <w:b/>
        </w:rPr>
        <w:t xml:space="preserve">Prepared By:</w:t>
      </w:r>
      <w:r>
        <w:t xml:space="preserve"> </w:t>
      </w:r>
      <w:r>
        <w:t xml:space="preserve">Sarah Jennings, Director of Sales Analytics</w:t>
      </w:r>
      <w:r>
        <w:br/>
      </w:r>
      <w:r>
        <w:rPr>
          <w:bCs/>
          <w:b/>
        </w:rPr>
        <w:t xml:space="preserve">United Kingdom Manchester Office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Sales Performance Report - United Kingdom Manchester</dc:title>
  <dc:creator/>
  <dc:language>en</dc:language>
  <cp:keywords/>
  <dcterms:created xsi:type="dcterms:W3CDTF">2026-07-23T20:31:52Z</dcterms:created>
  <dcterms:modified xsi:type="dcterms:W3CDTF">2026-07-23T20:31:52Z</dcterms:modified>
</cp:coreProperties>
</file>

<file path=docProps/custom.xml><?xml version="1.0" encoding="utf-8"?>
<Properties xmlns="http://schemas.openxmlformats.org/officeDocument/2006/custom-properties" xmlns:vt="http://schemas.openxmlformats.org/officeDocument/2006/docPropsVTypes"/>
</file>