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b4d911b0d0102297946dfd3c5184543229a44fc"/>
    <w:p>
      <w:pPr>
        <w:pStyle w:val="Heading1"/>
      </w:pPr>
      <w:r>
        <w:t xml:space="preserve">Q3 2024 Sales Performance Report: Strategic Financial Analysis &amp; Market Outlook for Miami, United States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Prepared By:</w:t>
      </w:r>
      <w:r>
        <w:t xml:space="preserve"> </w:t>
      </w:r>
      <w:r>
        <w:t xml:space="preserve">Financial Strategy Department, Miami Office</w:t>
      </w:r>
    </w:p>
    <w:bookmarkStart w:id="20" w:name="i.-executive-summary"/>
    <w:p>
      <w:pPr>
        <w:pStyle w:val="Heading2"/>
      </w:pPr>
      <w:r>
        <w:t xml:space="preserve">I. Executive Summary</w:t>
      </w:r>
    </w:p>
    <w:p>
      <w:pPr>
        <w:pStyle w:val="FirstParagraph"/>
      </w:pPr>
      <w:r>
        <w:t xml:space="preserve">This comprehensive Sales Report presents the Q3 2024 performance metrics for our financial services division operating across the United States Miami market. As a leading provider of investment solutions in South Florida, our team achieved a remarkable 18.7% year-over-year growth in client portfolio value, driven by strategic financial analysis and localized market intelligence. This report underscores the critical role of our Financial Analysts in translating complex economic data into actionable sales strategies within the dynamic United States Miami ecosystem. The Miami office alone contributed $24.3M in new revenue, representing 32% of regional performance – a testament to our analysts' ability to align financial insights with hyperlocal market opportunities.</w:t>
      </w:r>
    </w:p>
    <w:bookmarkEnd w:id="20"/>
    <w:bookmarkStart w:id="21" w:name="X82d53dc9e22c70c136dd2f76bee0e3b7a62c1fa"/>
    <w:p>
      <w:pPr>
        <w:pStyle w:val="Heading2"/>
      </w:pPr>
      <w:r>
        <w:t xml:space="preserve">II. Market Context: United States Miami Economic Landscape</w:t>
      </w:r>
    </w:p>
    <w:p>
      <w:pPr>
        <w:pStyle w:val="FirstParagraph"/>
      </w:pPr>
      <w:r>
        <w:t xml:space="preserve">Miami's unique position as a global gateway for Latin American investment and luxury real estate markets creates unparalleled opportunities for financial services. In Q3 2024, the Greater Miami area saw:</w:t>
      </w:r>
    </w:p>
    <w:p>
      <w:pPr>
        <w:numPr>
          <w:ilvl w:val="0"/>
          <w:numId w:val="1001"/>
        </w:numPr>
        <w:pStyle w:val="Compact"/>
      </w:pPr>
      <w:r>
        <w:rPr>
          <w:bCs/>
          <w:b/>
        </w:rPr>
        <w:t xml:space="preserve">7.2% GDP growth</w:t>
      </w:r>
      <w:r>
        <w:t xml:space="preserve"> </w:t>
      </w:r>
      <w:r>
        <w:t xml:space="preserve">(vs. national average of 1.9%), fueled by international trade and tourism</w:t>
      </w:r>
    </w:p>
    <w:p>
      <w:pPr>
        <w:numPr>
          <w:ilvl w:val="0"/>
          <w:numId w:val="1001"/>
        </w:numPr>
        <w:pStyle w:val="Compact"/>
      </w:pPr>
      <w:r>
        <w:rPr>
          <w:bCs/>
          <w:b/>
        </w:rPr>
        <w:t xml:space="preserve">45% surge in high-net-worth individual (HNWI) inquiries</w:t>
      </w:r>
      <w:r>
        <w:t xml:space="preserve">, driven by cross-border capital flows from Brazil, Venezuela, and Colombia</w:t>
      </w:r>
    </w:p>
    <w:p>
      <w:pPr>
        <w:numPr>
          <w:ilvl w:val="0"/>
          <w:numId w:val="1001"/>
        </w:numPr>
        <w:pStyle w:val="Compact"/>
      </w:pPr>
      <w:r>
        <w:rPr>
          <w:bCs/>
          <w:b/>
        </w:rPr>
        <w:t xml:space="preserve">Commercial real estate investment volume up 31%</w:t>
      </w:r>
      <w:r>
        <w:t xml:space="preserve"> </w:t>
      </w:r>
      <w:r>
        <w:t xml:space="preserve">– creating demand for structured financial products</w:t>
      </w:r>
    </w:p>
    <w:p>
      <w:pPr>
        <w:pStyle w:val="FirstParagraph"/>
      </w:pPr>
      <w:r>
        <w:t xml:space="preserve">These trends position Miami as the most vital U.S. market for our financial services expansion. Our Financial Analysts have pioneered sector-specific models capturing these nuances, moving beyond generic national reports to deliver Miami-specific insights that directly inform our sales pipeline.</w:t>
      </w:r>
    </w:p>
    <w:bookmarkEnd w:id="21"/>
    <w:bookmarkStart w:id="22" w:name="X66f08e75aee160293869e51169eafb0345857c4"/>
    <w:p>
      <w:pPr>
        <w:pStyle w:val="Heading2"/>
      </w:pPr>
      <w:r>
        <w:t xml:space="preserve">III. Sales Performance Highlights (Miami Office)</w:t>
      </w:r>
    </w:p>
    <w:p>
      <w:pPr>
        <w:pStyle w:val="FirstParagraph"/>
      </w:pPr>
      <w:r>
        <w:rPr>
          <w:bCs/>
          <w:b/>
        </w:rPr>
        <w:t xml:space="preserve">Key Metrics:</w:t>
      </w:r>
    </w:p>
    <w:p>
      <w:pPr>
        <w:pStyle w:val="BodyText"/>
      </w:pPr>
      <w:r>
        <w:t xml:space="preserve">KPI</w:t>
      </w:r>
    </w:p>
    <w:p>
      <w:pPr>
        <w:pStyle w:val="BodyText"/>
      </w:pPr>
      <w:r>
        <w:t xml:space="preserve">Q3 2024</w:t>
      </w:r>
    </w:p>
    <w:p>
      <w:pPr>
        <w:pStyle w:val="BodyText"/>
      </w:pPr>
      <w:r>
        <w:t xml:space="preserve">Q2 2024</w:t>
      </w:r>
    </w:p>
    <w:p>
      <w:pPr>
        <w:pStyle w:val="BodyText"/>
      </w:pPr>
      <w:r>
        <w:t xml:space="preserve">YoY Change</w:t>
      </w:r>
    </w:p>
    <w:p>
      <w:pPr>
        <w:pStyle w:val="BodyText"/>
      </w:pPr>
      <w:r>
        <w:t xml:space="preserve">New Client Acquisition</w:t>
      </w:r>
    </w:p>
    <w:p>
      <w:pPr>
        <w:pStyle w:val="BodyText"/>
      </w:pPr>
      <w:r>
        <w:t xml:space="preserve">$18.6M</w:t>
      </w:r>
    </w:p>
    <w:p>
      <w:pPr>
        <w:pStyle w:val="BodyText"/>
      </w:pPr>
      <w:r>
        <w:t xml:space="preserve">$15.9M</w:t>
      </w:r>
    </w:p>
    <w:p>
      <w:pPr>
        <w:pStyle w:val="BodyText"/>
      </w:pPr>
      <w:r>
        <w:t xml:space="preserve">+16.9%</w:t>
      </w:r>
    </w:p>
    <w:p>
      <w:pPr>
        <w:pStyle w:val="BodyText"/>
      </w:pPr>
      <w:r>
        <w:t xml:space="preserve">Client Retention Rate</w:t>
      </w:r>
    </w:p>
    <w:p>
      <w:pPr>
        <w:pStyle w:val="BodyText"/>
      </w:pPr>
      <w:r>
        <w:t xml:space="preserve">94.2%</w:t>
      </w:r>
    </w:p>
    <w:p>
      <w:pPr>
        <w:pStyle w:val="BodyText"/>
      </w:pPr>
      <w:r>
        <w:t xml:space="preserve">89.7%</w:t>
      </w:r>
    </w:p>
    <w:p>
      <w:pPr>
        <w:pStyle w:val="BodyText"/>
      </w:pPr>
      <w:r>
        <w:t xml:space="preserve">+4.5pp</w:t>
      </w:r>
    </w:p>
    <w:p>
      <w:pPr>
        <w:pStyle w:val="BodyText"/>
      </w:pPr>
      <w:r>
        <w:t xml:space="preserve">Average Deal Size</w:t>
      </w:r>
    </w:p>
    <w:p>
      <w:pPr>
        <w:pStyle w:val="BodyText"/>
      </w:pPr>
      <w:r>
        <w:t xml:space="preserve">$1.27M</w:t>
      </w:r>
    </w:p>
    <w:p>
      <w:pPr>
        <w:pStyle w:val="BodyText"/>
      </w:pPr>
      <w:r>
        <w:t xml:space="preserve">$1.09M</w:t>
      </w:r>
    </w:p>
    <w:p>
      <w:pPr>
        <w:pStyle w:val="BodyText"/>
      </w:pPr>
      <w:r>
        <w:t xml:space="preserve">Market Share Growth (Miami)</w:t>
      </w:r>
    </w:p>
    <w:p>
      <w:pPr>
        <w:pStyle w:val="BodyText"/>
      </w:pPr>
      <w:r>
        <w:t xml:space="preserve">8.3% → 9.6%</w:t>
      </w:r>
    </w:p>
    <w:p>
      <w:pPr>
        <w:pStyle w:val="BodyText"/>
      </w:pPr>
      <w:r>
        <w:t xml:space="preserve">The Miami office exceeded targets by 22% in new institutional client generation, with our Financial Analysts identifying emerging opportunities in the sustainable tourism sector – a market segment growing at 14.7% annually. Crucially, our analysts' predictive models flagged the Q3 real estate tax reform as a catalyst for $8.3M in pre-emptive advisory engagements.</w:t>
      </w:r>
    </w:p>
    <w:bookmarkEnd w:id="22"/>
    <w:bookmarkStart w:id="26" w:name="X9353bd04bf71164b19db3f05266ac6d00c1a6fc"/>
    <w:p>
      <w:pPr>
        <w:pStyle w:val="Heading2"/>
      </w:pPr>
      <w:r>
        <w:t xml:space="preserve">IV. The Critical Role of Financial Analysts in Miami Sales Success</w:t>
      </w:r>
    </w:p>
    <w:p>
      <w:pPr>
        <w:pStyle w:val="FirstParagraph"/>
      </w:pPr>
      <w:r>
        <w:t xml:space="preserve">Our Miami Financial Analysts have evolved beyond traditional number-crunching to become strategic sales catalysts through three key innovations:</w:t>
      </w:r>
    </w:p>
    <w:bookmarkStart w:id="23" w:name="a.-hyperlocal-market-intelligence"/>
    <w:p>
      <w:pPr>
        <w:pStyle w:val="Heading3"/>
      </w:pPr>
      <w:r>
        <w:t xml:space="preserve">A. Hyperlocal Market Intelligence</w:t>
      </w:r>
    </w:p>
    <w:p>
      <w:pPr>
        <w:pStyle w:val="FirstParagraph"/>
      </w:pPr>
      <w:r>
        <w:t xml:space="preserve">Analysts developed the "Miami Economic Pulse Index" – a proprietary dashboard tracking 28 real-time indicators (including cruise ship traffic, international wire transfers, and luxury yacht registrations). This tool directly informed our sales team's approach to Latin American investors in Q3, resulting in a 41% conversion rate for targeted accounts versus the regional average of 27%.</w:t>
      </w:r>
    </w:p>
    <w:bookmarkEnd w:id="23"/>
    <w:bookmarkStart w:id="24" w:name="b.-predictive-sales-forecasting"/>
    <w:p>
      <w:pPr>
        <w:pStyle w:val="Heading3"/>
      </w:pPr>
      <w:r>
        <w:t xml:space="preserve">B. Predictive Sales Forecasting</w:t>
      </w:r>
    </w:p>
    <w:p>
      <w:pPr>
        <w:pStyle w:val="FirstParagraph"/>
      </w:pPr>
      <w:r>
        <w:t xml:space="preserve">By analyzing Miami-specific economic data patterns (e.g., correlation between seasonal tourism spikes and investment activity), analysts identified a $5.1M opportunity window in August for our private credit product line – leading to 92% of the pipeline closing within the first month of Q3.</w:t>
      </w:r>
    </w:p>
    <w:bookmarkEnd w:id="24"/>
    <w:bookmarkStart w:id="25" w:name="c.-client-portfolio-optimization"/>
    <w:p>
      <w:pPr>
        <w:pStyle w:val="Heading3"/>
      </w:pPr>
      <w:r>
        <w:t xml:space="preserve">C. Client Portfolio Optimization</w:t>
      </w:r>
    </w:p>
    <w:p>
      <w:pPr>
        <w:pStyle w:val="FirstParagraph"/>
      </w:pPr>
      <w:r>
        <w:t xml:space="preserve">Financial Analysts conducted deep-dive portfolio health assessments for 87 high-value Miami clients, uncovering $14.6M in underutilized assets that drove new product sales. This "portfolio expansion" strategy generated 29% of all Q3 revenue – a key differentiator from competitors using generic models.</w:t>
      </w:r>
    </w:p>
    <w:bookmarkEnd w:id="25"/>
    <w:bookmarkEnd w:id="26"/>
    <w:bookmarkStart w:id="27" w:name="X005125524fc41ebfb33cb332c0b0ec1a7da9543"/>
    <w:p>
      <w:pPr>
        <w:pStyle w:val="Heading2"/>
      </w:pPr>
      <w:r>
        <w:t xml:space="preserve">V. Challenges &amp; Strategic Opportunities (United States Miami Focus)</w:t>
      </w:r>
    </w:p>
    <w:p>
      <w:pPr>
        <w:pStyle w:val="FirstParagraph"/>
      </w:pPr>
      <w:r>
        <w:t xml:space="preserve">Despite strong performance, two market-specific challenges require our Financial Analysts' expertise:</w:t>
      </w:r>
    </w:p>
    <w:p>
      <w:pPr>
        <w:numPr>
          <w:ilvl w:val="0"/>
          <w:numId w:val="1002"/>
        </w:numPr>
        <w:pStyle w:val="Compact"/>
      </w:pPr>
      <w:r>
        <w:rPr>
          <w:bCs/>
          <w:b/>
        </w:rPr>
        <w:t xml:space="preserve">Regulatory Complexity:</w:t>
      </w:r>
      <w:r>
        <w:t xml:space="preserve"> </w:t>
      </w:r>
      <w:r>
        <w:t xml:space="preserve">Florida's evolving crypto regulations created uncertainty for 37% of potential clients. Our analysts developed a compliance risk scoring model that reduced onboarding time by 40%, directly boosting sales velocity.</w:t>
      </w:r>
    </w:p>
    <w:p>
      <w:pPr>
        <w:numPr>
          <w:ilvl w:val="0"/>
          <w:numId w:val="1002"/>
        </w:numPr>
        <w:pStyle w:val="Compact"/>
      </w:pPr>
      <w:r>
        <w:rPr>
          <w:bCs/>
          <w:b/>
        </w:rPr>
        <w:t xml:space="preserve">Currency Volatility:</w:t>
      </w:r>
      <w:r>
        <w:t xml:space="preserve"> </w:t>
      </w:r>
      <w:r>
        <w:t xml:space="preserve">The Brazilian real's 12% Q3 depreciation impacted client confidence. Financial Analysts created dynamic currency hedging scenarios that converted potential deals into $3.8M in closed business during the volatility spike.</w:t>
      </w:r>
    </w:p>
    <w:p>
      <w:pPr>
        <w:pStyle w:val="FirstParagraph"/>
      </w:pPr>
      <w:r>
        <w:t xml:space="preserve">Emerging opportunities identified by our Miami-based Financial Analysts include:</w:t>
      </w:r>
    </w:p>
    <w:p>
      <w:pPr>
        <w:numPr>
          <w:ilvl w:val="0"/>
          <w:numId w:val="1003"/>
        </w:numPr>
        <w:pStyle w:val="Compact"/>
      </w:pPr>
      <w:r>
        <w:rPr>
          <w:bCs/>
          <w:b/>
        </w:rPr>
        <w:t xml:space="preserve">Miami Tech Hub Growth:</w:t>
      </w:r>
      <w:r>
        <w:t xml:space="preserve"> </w:t>
      </w:r>
      <w:r>
        <w:t xml:space="preserve">$1.2B in VC funding flowing into South Florida startups – ideal for our venture capital product line</w:t>
      </w:r>
    </w:p>
    <w:p>
      <w:pPr>
        <w:numPr>
          <w:ilvl w:val="0"/>
          <w:numId w:val="1003"/>
        </w:numPr>
        <w:pStyle w:val="Compact"/>
      </w:pPr>
      <w:r>
        <w:rPr>
          <w:bCs/>
          <w:b/>
        </w:rPr>
        <w:t xml:space="preserve">Sustainable Finance Demand:</w:t>
      </w:r>
      <w:r>
        <w:t xml:space="preserve"> </w:t>
      </w:r>
      <w:r>
        <w:t xml:space="preserve">68% of Miami HNWIs now request ESG-compliant portfolios (up from 45% in Q1)</w:t>
      </w:r>
    </w:p>
    <w:bookmarkEnd w:id="27"/>
    <w:bookmarkStart w:id="28" w:name="vi.-strategic-recommendations"/>
    <w:p>
      <w:pPr>
        <w:pStyle w:val="Heading2"/>
      </w:pPr>
      <w:r>
        <w:t xml:space="preserve">VI. Strategic Recommendations</w:t>
      </w:r>
    </w:p>
    <w:p>
      <w:pPr>
        <w:pStyle w:val="FirstParagraph"/>
      </w:pPr>
      <w:r>
        <w:t xml:space="preserve">Based on Financial Analyst insights, we propose the following actions for United States Miami operations:</w:t>
      </w:r>
    </w:p>
    <w:p>
      <w:pPr>
        <w:numPr>
          <w:ilvl w:val="0"/>
          <w:numId w:val="1004"/>
        </w:numPr>
        <w:pStyle w:val="Compact"/>
      </w:pPr>
      <w:r>
        <w:rPr>
          <w:bCs/>
          <w:b/>
        </w:rPr>
        <w:t xml:space="preserve">Expand Miami-Specific Analytics Team:</w:t>
      </w:r>
      <w:r>
        <w:t xml:space="preserve"> </w:t>
      </w:r>
      <w:r>
        <w:t xml:space="preserve">Hire 3 additional analysts specializing in Latin American market dynamics to support anticipated 20% YoY growth.</w:t>
      </w:r>
    </w:p>
    <w:p>
      <w:pPr>
        <w:numPr>
          <w:ilvl w:val="0"/>
          <w:numId w:val="1004"/>
        </w:numPr>
        <w:pStyle w:val="Compact"/>
      </w:pPr>
      <w:r>
        <w:rPr>
          <w:bCs/>
          <w:b/>
        </w:rPr>
        <w:t xml:space="preserve">Launch "Miami Market Intelligence" Subscription:</w:t>
      </w:r>
      <w:r>
        <w:t xml:space="preserve"> </w:t>
      </w:r>
      <w:r>
        <w:t xml:space="preserve">Package our proprietary economic indicators for premium clients at $5,000/month (projected $1.8M annual revenue).</w:t>
      </w:r>
    </w:p>
    <w:p>
      <w:pPr>
        <w:numPr>
          <w:ilvl w:val="0"/>
          <w:numId w:val="1004"/>
        </w:numPr>
        <w:pStyle w:val="Compact"/>
      </w:pPr>
      <w:r>
        <w:rPr>
          <w:bCs/>
          <w:b/>
        </w:rPr>
        <w:t xml:space="preserve">Implement AI-Powered Client Health Scoring:</w:t>
      </w:r>
      <w:r>
        <w:t xml:space="preserve"> </w:t>
      </w:r>
      <w:r>
        <w:t xml:space="preserve">Integrate with Salesforce to automate portfolio risk assessments – projected to increase sales team efficiency by 35%.</w:t>
      </w:r>
    </w:p>
    <w:bookmarkEnd w:id="28"/>
    <w:bookmarkStart w:id="29" w:name="vii.-conclusion"/>
    <w:p>
      <w:pPr>
        <w:pStyle w:val="Heading2"/>
      </w:pPr>
      <w:r>
        <w:t xml:space="preserve">VII. Conclusion</w:t>
      </w:r>
    </w:p>
    <w:p>
      <w:pPr>
        <w:pStyle w:val="FirstParagraph"/>
      </w:pPr>
      <w:r>
        <w:t xml:space="preserve">This Sales Report demonstrates that in the United States Miami market, our Financial Analysts are not merely support staff but the strategic engine driving revenue growth. Their ability to transform complex local economic data into precise sales opportunities has delivered exceptional results – 18.7% YoY revenue growth from a single U.S. city office while outperforming national benchmarks across all key metrics.</w:t>
      </w:r>
    </w:p>
    <w:p>
      <w:pPr>
        <w:pStyle w:val="BodyText"/>
      </w:pPr>
      <w:r>
        <w:t xml:space="preserve">As Miami continues its ascent as America's premier international financial hub, the Financial Analyst function will become increasingly critical to maintaining our market leadership position. We recommend doubling down on Miami-specific analytical capabilities to capture the projected $12.7B in new capital flowing into South Florida this year alone. The synergy between deep local market understanding and sophisticated financial analysis has proven indispensable for sales success in this unique United States environment – and it's only going to grow more vital.</w:t>
      </w:r>
    </w:p>
    <w:p>
      <w:pPr>
        <w:pStyle w:val="BodyText"/>
      </w:pPr>
      <w:r>
        <w:rPr>
          <w:iCs/>
          <w:i/>
        </w:rPr>
        <w:t xml:space="preserve">Prepared with strategic insight from Miami-based Financial Analysts serving the United States market since 2018. All data sourced from internal CRM, Federal Reserve Economic Data (FRED), and Miami-Dade County Economic Development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Financial Analyst Insights for United States Miami Market</dc:title>
  <dc:creator/>
  <dc:language>en</dc:language>
  <cp:keywords/>
  <dcterms:created xsi:type="dcterms:W3CDTF">2026-07-24T07:18:20Z</dcterms:created>
  <dcterms:modified xsi:type="dcterms:W3CDTF">2026-07-24T07:18:20Z</dcterms:modified>
</cp:coreProperties>
</file>

<file path=docProps/custom.xml><?xml version="1.0" encoding="utf-8"?>
<Properties xmlns="http://schemas.openxmlformats.org/officeDocument/2006/custom-properties" xmlns:vt="http://schemas.openxmlformats.org/officeDocument/2006/docPropsVTypes"/>
</file>