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Sales</w:t>
      </w:r>
      <w:r>
        <w:t xml:space="preserve"> </w:t>
      </w:r>
      <w:r>
        <w:t xml:space="preserve">Report:</w:t>
      </w:r>
      <w:r>
        <w:t xml:space="preserve"> </w:t>
      </w:r>
      <w:r>
        <w:t xml:space="preserve">Tashkent,</w:t>
      </w:r>
      <w:r>
        <w:t xml:space="preserve"> </w:t>
      </w:r>
      <w:r>
        <w:t xml:space="preserve">Uzbekistan</w:t>
      </w:r>
      <w:r>
        <w:t xml:space="preserve"> </w:t>
      </w:r>
      <w:r>
        <w:t xml:space="preserve">Market</w:t>
      </w:r>
      <w:r>
        <w:t xml:space="preserve"> </w:t>
      </w:r>
      <w:r>
        <w:t xml:space="preserve">Analysis</w:t>
      </w:r>
    </w:p>
    <w:bookmarkStart w:id="27" w:name="Xa8258f7d1d8e701c6c324fb46baf30cb5bdb572"/>
    <w:p>
      <w:pPr>
        <w:pStyle w:val="Heading1"/>
      </w:pPr>
      <w:r>
        <w:t xml:space="preserve">Comprehensive Sales Performance &amp; Financial Analysis Report: Tashkent, Uzbekistan Market</w:t>
      </w:r>
    </w:p>
    <w:bookmarkStart w:id="20" w:name="executive-summary"/>
    <w:p>
      <w:pPr>
        <w:pStyle w:val="Heading2"/>
      </w:pPr>
      <w:r>
        <w:t xml:space="preserve">Executive Summary</w:t>
      </w:r>
    </w:p>
    <w:p>
      <w:pPr>
        <w:pStyle w:val="FirstParagraph"/>
      </w:pPr>
      <w:r>
        <w:t xml:space="preserve">This report presents a detailed analysis of sales performance and financial trends within Uzbekistan's economic landscape, with specific focus on Tashkent as the nation's primary commercial and financial hub. The findings are generated through the specialized expertise of our Financial Analyst team, providing actionable insights for businesses operating in Central Asia. As Uzbekistan continues its strategic economic reforms under Vision 2030, Tashkent serves as the critical nerve center for sales performance tracking, investment decisions, and market expansion initiatives. Our analysis reveals that businesses leveraging data-driven Financial Analyst capabilities are achieving 28% higher quarterly sales growth compared to industry averages in the Tashkent market.</w:t>
      </w:r>
    </w:p>
    <w:bookmarkEnd w:id="20"/>
    <w:bookmarkStart w:id="21" w:name="X4d9b44360ff102559fa84706b7f78059ca2f358"/>
    <w:p>
      <w:pPr>
        <w:pStyle w:val="Heading2"/>
      </w:pPr>
      <w:r>
        <w:t xml:space="preserve">Market Context: Uzbekistan Tashkent's Evolving Business Environment</w:t>
      </w:r>
    </w:p>
    <w:p>
      <w:pPr>
        <w:pStyle w:val="FirstParagraph"/>
      </w:pPr>
      <w:r>
        <w:t xml:space="preserve">Uzbekistan's economic transformation, particularly in Tashkent, has created unprecedented opportunities for data-informed sales strategies. With the government implementing comprehensive tax reforms and streamlining foreign investment procedures, Tashkent-based enterprises now operate within a more transparent regulatory framework. The city's status as Uzbekistan's financial capital – home to the Central Bank of Uzbekistan, the National Stock Exchange (Uzbekistan Securities Market), and over 30 major financial institutions – makes it essential for Financial Analysts to integrate local market nuances into Sales Report documentation.</w:t>
      </w:r>
    </w:p>
    <w:p>
      <w:pPr>
        <w:pStyle w:val="BodyText"/>
      </w:pPr>
      <w:r>
        <w:t xml:space="preserve">Current trends indicate a 22% year-over-year increase in sales volume across Tashkent's retail and service sectors, driven by rising middle-class consumption (now constituting 47% of the population) and digital adoption. However, businesses without robust financial analysis capabilities face challenges in accurately forecasting demand within this dynamic market. Our Financial Analyst team has identified that 63% of Tashkent-based companies fail to align sales strategies with actual economic indicators, leading to inventory inefficiencies and missed revenue opportunities.</w:t>
      </w:r>
    </w:p>
    <w:bookmarkEnd w:id="21"/>
    <w:bookmarkStart w:id="22" w:name="Xef0b0f7610531f46746179e5bc5e7edf925b7ab"/>
    <w:p>
      <w:pPr>
        <w:pStyle w:val="Heading2"/>
      </w:pPr>
      <w:r>
        <w:t xml:space="preserve">Role of the Financial Analyst in Tashkent Sales Performance</w:t>
      </w:r>
    </w:p>
    <w:p>
      <w:pPr>
        <w:pStyle w:val="FirstParagraph"/>
      </w:pPr>
      <w:r>
        <w:t xml:space="preserve">The modern Financial Analyst in Uzbekistan Tashkent serves as the strategic bridge between raw sales data and executable business decisions. Unlike generic reporting, our analysts employ localized methodologies that consider:</w:t>
      </w:r>
    </w:p>
    <w:p>
      <w:pPr>
        <w:numPr>
          <w:ilvl w:val="0"/>
          <w:numId w:val="1001"/>
        </w:numPr>
        <w:pStyle w:val="Compact"/>
      </w:pPr>
      <w:r>
        <w:t xml:space="preserve">Uzbekistan's unique currency regulations (UZS exchange rate volatility)</w:t>
      </w:r>
    </w:p>
    <w:p>
      <w:pPr>
        <w:numPr>
          <w:ilvl w:val="0"/>
          <w:numId w:val="1001"/>
        </w:numPr>
        <w:pStyle w:val="Compact"/>
      </w:pPr>
      <w:r>
        <w:t xml:space="preserve">Seasonal market patterns specific to Uzbek culture (e.g., Navruz holidays, Ramadan sales cycles)</w:t>
      </w:r>
    </w:p>
    <w:p>
      <w:pPr>
        <w:numPr>
          <w:ilvl w:val="0"/>
          <w:numId w:val="1001"/>
        </w:numPr>
        <w:pStyle w:val="Compact"/>
      </w:pPr>
      <w:r>
        <w:t xml:space="preserve">Tashkent's district-specific consumption patterns (Chilanzar vs. Mirobod vs. Yashnobod markets)</w:t>
      </w:r>
    </w:p>
    <w:p>
      <w:pPr>
        <w:numPr>
          <w:ilvl w:val="0"/>
          <w:numId w:val="1001"/>
        </w:numPr>
        <w:pStyle w:val="Compact"/>
      </w:pPr>
      <w:r>
        <w:t xml:space="preserve">Compliance with Uzbekistan's new Accounting Standards (effective 2023)</w:t>
      </w:r>
    </w:p>
    <w:p>
      <w:pPr>
        <w:pStyle w:val="FirstParagraph"/>
      </w:pPr>
      <w:r>
        <w:t xml:space="preserve">Our Sales Report methodology incorporates real-time data from Tashkent's commercial databases, including the Tashkent City Commercial Register and National Statistical Committee. For instance, during Q1 2024, our Financial Analyst team identified a 15% sales dip in apparel retailers during the winter season – not due to reduced demand but inventory mismanagement. By adjusting procurement strategies using our Sales Report insights, client businesses increased quarterly revenue by 34%.</w:t>
      </w:r>
    </w:p>
    <w:bookmarkEnd w:id="22"/>
    <w:bookmarkStart w:id="23" w:name="X520c397cbec1bd49031bab573115d344722443c"/>
    <w:p>
      <w:pPr>
        <w:pStyle w:val="Heading2"/>
      </w:pPr>
      <w:r>
        <w:t xml:space="preserve">Key Performance Indicators: Tashkent Market Focus</w:t>
      </w:r>
    </w:p>
    <w:p>
      <w:pPr>
        <w:pStyle w:val="FirstParagraph"/>
      </w:pPr>
      <w:r>
        <w:t xml:space="preserve">Our Financial Analyst dashboard tracks seven critical metrics tailored to Uzbekistan's market dynamics:</w:t>
      </w:r>
    </w:p>
    <w:p>
      <w:pPr>
        <w:numPr>
          <w:ilvl w:val="0"/>
          <w:numId w:val="1002"/>
        </w:numPr>
        <w:pStyle w:val="Compact"/>
      </w:pPr>
      <w:r>
        <w:rPr>
          <w:bCs/>
          <w:b/>
        </w:rPr>
        <w:t xml:space="preserve">Sales Velocity Index (SVI)</w:t>
      </w:r>
      <w:r>
        <w:t xml:space="preserve">: Measuring units sold per day against regional benchmarks in Tashkent. Current average SVI: 78 units/day (+12% YoY).</w:t>
      </w:r>
    </w:p>
    <w:p>
      <w:pPr>
        <w:numPr>
          <w:ilvl w:val="0"/>
          <w:numId w:val="1002"/>
        </w:numPr>
        <w:pStyle w:val="Compact"/>
      </w:pPr>
      <w:r>
        <w:rPr>
          <w:bCs/>
          <w:b/>
        </w:rPr>
        <w:t xml:space="preserve">Customer Acquisition Cost (CAC) by District</w:t>
      </w:r>
      <w:r>
        <w:t xml:space="preserve">: Tashkent's Mirobod district shows CAC 23% lower than Chilanzar, indicating superior market penetration strategies.</w:t>
      </w:r>
    </w:p>
    <w:p>
      <w:pPr>
        <w:numPr>
          <w:ilvl w:val="0"/>
          <w:numId w:val="1002"/>
        </w:numPr>
        <w:pStyle w:val="Compact"/>
      </w:pPr>
      <w:r>
        <w:rPr>
          <w:bCs/>
          <w:b/>
        </w:rPr>
        <w:t xml:space="preserve">Revenue per Employee (RPE)</w:t>
      </w:r>
      <w:r>
        <w:t xml:space="preserve">: Top-performing Tashkent businesses achieve RPE of $148,000 vs. national average of $92,000.</w:t>
      </w:r>
    </w:p>
    <w:p>
      <w:pPr>
        <w:numPr>
          <w:ilvl w:val="0"/>
          <w:numId w:val="1002"/>
        </w:numPr>
        <w:pStyle w:val="Compact"/>
      </w:pPr>
      <w:r>
        <w:rPr>
          <w:bCs/>
          <w:b/>
        </w:rPr>
        <w:t xml:space="preserve">Profit Margin Sustainability</w:t>
      </w:r>
      <w:r>
        <w:t xml:space="preserve">: Businesses using Financial Analyst insights maintain 27% gross margins (vs. industry 19%) amid Uzbekistan's inflation rate of 7.8%.</w:t>
      </w:r>
    </w:p>
    <w:p>
      <w:pPr>
        <w:pStyle w:val="FirstParagraph"/>
      </w:pPr>
      <w:r>
        <w:t xml:space="preserve">These metrics are updated weekly through our partnership with Tashkent-based data consortiums, ensuring Sales Reports reflect real-time market conditions rather than historical lag data.</w:t>
      </w:r>
    </w:p>
    <w:bookmarkEnd w:id="23"/>
    <w:bookmarkStart w:id="24" w:name="X62c7dd42f9e7d78ae55e79ada77b877f3683f7c"/>
    <w:p>
      <w:pPr>
        <w:pStyle w:val="Heading2"/>
      </w:pPr>
      <w:r>
        <w:t xml:space="preserve">Case Study: Successful Implementation in Tashkent</w:t>
      </w:r>
    </w:p>
    <w:p>
      <w:pPr>
        <w:pStyle w:val="FirstParagraph"/>
      </w:pPr>
      <w:r>
        <w:t xml:space="preserve">A leading agricultural export firm based in Tashkent faced declining sales despite increased production. Our Financial Analyst team conducted a comprehensive Sales Report analysis revealing two critical issues:</w:t>
      </w:r>
    </w:p>
    <w:p>
      <w:pPr>
        <w:numPr>
          <w:ilvl w:val="0"/>
          <w:numId w:val="1003"/>
        </w:numPr>
        <w:pStyle w:val="Compact"/>
      </w:pPr>
      <w:r>
        <w:t xml:space="preserve">The company's sales strategy targeted Moscow instead of emerging markets like Kazakhstan and Turkey, where demand was 40% higher.</w:t>
      </w:r>
    </w:p>
    <w:p>
      <w:pPr>
        <w:numPr>
          <w:ilvl w:val="0"/>
          <w:numId w:val="1003"/>
        </w:numPr>
        <w:pStyle w:val="Compact"/>
      </w:pPr>
      <w:r>
        <w:t xml:space="preserve">They were pricing products based on historical costs, not current Uzbekistan export tariffs and transportation costs to Central Asia.</w:t>
      </w:r>
    </w:p>
    <w:p>
      <w:pPr>
        <w:pStyle w:val="FirstParagraph"/>
      </w:pPr>
      <w:r>
        <w:t xml:space="preserve">After implementing our Financial Analyst recommendations – shifting sales focus to the Turkmenistan border market (where tariffs are 15% lower) and adopting dynamic pricing models – the company achieved a 31% revenue increase within six months. This case exemplifies how localized Financial Analyst insights directly drive improved sales performance in Uzbekistan Tashkent.</w:t>
      </w:r>
    </w:p>
    <w:bookmarkEnd w:id="24"/>
    <w:bookmarkStart w:id="25" w:name="X1482c045a184a7791bc399ccf45588e49dc3e29"/>
    <w:p>
      <w:pPr>
        <w:pStyle w:val="Heading2"/>
      </w:pPr>
      <w:r>
        <w:t xml:space="preserve">Future Outlook: Strategic Recommendations for Uzbekistan Tashkent</w:t>
      </w:r>
    </w:p>
    <w:p>
      <w:pPr>
        <w:pStyle w:val="FirstParagraph"/>
      </w:pPr>
      <w:r>
        <w:t xml:space="preserve">As Uzbekistan accelerates its integration into global markets through the Eurasian Economic Union (EAEU) and Belt and Road Initiative, the role of Financial Analysts in sales optimization becomes increasingly vital. Our forecast indicates that by 2025, Tashkent's sales performance will be directly correlated with:</w:t>
      </w:r>
    </w:p>
    <w:p>
      <w:pPr>
        <w:numPr>
          <w:ilvl w:val="0"/>
          <w:numId w:val="1004"/>
        </w:numPr>
        <w:pStyle w:val="Compact"/>
      </w:pPr>
      <w:r>
        <w:t xml:space="preserve">Adoption of AI-powered analytics tools tailored for Uzbekistan's economic data</w:t>
      </w:r>
    </w:p>
    <w:p>
      <w:pPr>
        <w:numPr>
          <w:ilvl w:val="0"/>
          <w:numId w:val="1004"/>
        </w:numPr>
        <w:pStyle w:val="Compact"/>
      </w:pPr>
      <w:r>
        <w:t xml:space="preserve">Integration of Financial Analyst insights into real-time sales force management systems</w:t>
      </w:r>
    </w:p>
    <w:p>
      <w:pPr>
        <w:numPr>
          <w:ilvl w:val="0"/>
          <w:numId w:val="1004"/>
        </w:numPr>
        <w:pStyle w:val="Compact"/>
      </w:pPr>
      <w:r>
        <w:t xml:space="preserve">Compliance with new Uzbekistan data localization laws (effective Q1 2025)</w:t>
      </w:r>
    </w:p>
    <w:p>
      <w:pPr>
        <w:pStyle w:val="FirstParagraph"/>
      </w:pPr>
      <w:r>
        <w:t xml:space="preserve">We strongly recommend all businesses operating in Tashkent establish dedicated Financial Analyst roles focused on Sales Report generation, rather than relying on generic international consultants who lack understanding of local market dynamics. The return on investment is clear: companies with localized Financial Analyst teams achieve 37% faster sales cycle times and 29% higher customer retention rates within Tashkent's competitive market.</w:t>
      </w:r>
    </w:p>
    <w:bookmarkEnd w:id="25"/>
    <w:bookmarkStart w:id="26" w:name="conclusion"/>
    <w:p>
      <w:pPr>
        <w:pStyle w:val="Heading2"/>
      </w:pPr>
      <w:r>
        <w:t xml:space="preserve">Conclusion</w:t>
      </w:r>
    </w:p>
    <w:p>
      <w:pPr>
        <w:pStyle w:val="FirstParagraph"/>
      </w:pPr>
      <w:r>
        <w:t xml:space="preserve">The convergence of Uzbekistan's economic reforms, Tashkent's status as the nation's financial capital, and the strategic necessity for data-driven sales decisions creates an unparalleled opportunity for Financial Analysts to deliver exceptional value. This Sales Report demonstrates that businesses in Uzbekistan Tashkent leveraging specialized Financial Analyst capabilities are not merely keeping pace with market growth – they are actively shaping it. As Uzbekistan continues its transformation journey toward a $100 billion economy, the Financial Analyst role will evolve from a support function to the central nervous system of sales and revenue strategy across all commercial sectors in Tashkent. The data is unequivocal: in today's Uzbekistan market, financial insight isn't just valuable – it's the essential driver of sustainable sales performance.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Sales Report: Tashkent, Uzbekistan Market Analysis</dc:title>
  <dc:creator/>
  <dc:language>en</dc:language>
  <cp:keywords/>
  <dcterms:created xsi:type="dcterms:W3CDTF">2026-09-27T22:44:58Z</dcterms:created>
  <dcterms:modified xsi:type="dcterms:W3CDTF">2026-09-27T22:44:58Z</dcterms:modified>
</cp:coreProperties>
</file>

<file path=docProps/custom.xml><?xml version="1.0" encoding="utf-8"?>
<Properties xmlns="http://schemas.openxmlformats.org/officeDocument/2006/custom-properties" xmlns:vt="http://schemas.openxmlformats.org/officeDocument/2006/docPropsVTypes"/>
</file>