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0de9bf4e94f8bbdbc6607506d56fcac83672a65"/>
    <w:p>
      <w:pPr>
        <w:pStyle w:val="Heading1"/>
      </w:pPr>
      <w:r>
        <w:t xml:space="preserve">Comprehensive Sales Performance Report: Firefighter Equipment &amp;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Service Council (Cuerpo de Bomberos) of Colombia</w:t>
      </w:r>
      <w:r>
        <w:br/>
      </w:r>
      <w:r>
        <w:rPr>
          <w:bCs/>
          <w:b/>
        </w:rPr>
        <w:t xml:space="preserve">Prepared By:</w:t>
      </w:r>
      <w:r>
        <w:t xml:space="preserve"> </w:t>
      </w:r>
      <w:r>
        <w:t xml:space="preserve">Strategic Sales Division, Andean Safety Solutions</w:t>
      </w:r>
    </w:p>
    <w:bookmarkStart w:id="20" w:name="i.-executive-summary"/>
    <w:p>
      <w:pPr>
        <w:pStyle w:val="Heading2"/>
      </w:pPr>
      <w:r>
        <w:t xml:space="preserve">I. Executive Summary</w:t>
      </w:r>
    </w:p>
    <w:p>
      <w:pPr>
        <w:pStyle w:val="FirstParagraph"/>
      </w:pPr>
      <w:r>
        <w:t xml:space="preserve">This Sales Report details the performance of firefighter equipment and safety services across Bogotá, Colombia's capital city. In the third quarter of 2023, our company achieved a 15% year-over-year revenue increase in Colombia Bogotá, securing contracts with 7 municipal fire stations and 3 private sector emergency response teams. The report confirms that specialized firefighter gear and training programs remain critical priorities for Bogotá's fire service as the city grapples with increasing urban density and complex emergency scenarios. Our success demonstrates a clear market alignment between our product offerings and the operational needs of Colombia's frontline firefighters.</w:t>
      </w:r>
    </w:p>
    <w:bookmarkEnd w:id="20"/>
    <w:bookmarkStart w:id="21" w:name="X32992600d2f207d5bae7e05efe09b8dcc09ab75"/>
    <w:p>
      <w:pPr>
        <w:pStyle w:val="Heading2"/>
      </w:pPr>
      <w:r>
        <w:t xml:space="preserve">II. Market Context: Firefighter Demand in Bogotá</w:t>
      </w:r>
    </w:p>
    <w:p>
      <w:pPr>
        <w:pStyle w:val="FirstParagraph"/>
      </w:pPr>
      <w:r>
        <w:t xml:space="preserve">Bogotá's unique geographical challenges – including its high altitude (2,640m), rapid urban expansion, and frequent electrical grid incidents – create specialized demands for firefighter equipment. The National Disaster Risk Management Unit reported a 22% surge in fire emergencies citywide during 2023 Q1-Q3, directly impacting our sales trajectory. Critical factors driving demand include:</w:t>
      </w:r>
    </w:p>
    <w:p>
      <w:pPr>
        <w:numPr>
          <w:ilvl w:val="0"/>
          <w:numId w:val="1001"/>
        </w:numPr>
        <w:pStyle w:val="Compact"/>
      </w:pPr>
      <w:r>
        <w:rPr>
          <w:bCs/>
          <w:b/>
        </w:rPr>
        <w:t xml:space="preserve">Regulatory Compliance:</w:t>
      </w:r>
      <w:r>
        <w:t xml:space="preserve"> </w:t>
      </w:r>
      <w:r>
        <w:t xml:space="preserve">New Colombian Ministry of Interior regulations (Decree 1459 of 2023) mandate enhanced personal protective equipment (PPE) for all firefighter personnel across municipal stations.</w:t>
      </w:r>
    </w:p>
    <w:p>
      <w:pPr>
        <w:numPr>
          <w:ilvl w:val="0"/>
          <w:numId w:val="1001"/>
        </w:numPr>
        <w:pStyle w:val="Compact"/>
      </w:pPr>
      <w:r>
        <w:rPr>
          <w:bCs/>
          <w:b/>
        </w:rPr>
        <w:t xml:space="preserve">Urbanization Pressures:</w:t>
      </w:r>
      <w:r>
        <w:t xml:space="preserve"> </w:t>
      </w:r>
      <w:r>
        <w:t xml:space="preserve">With Bogotá's population exceeding 8 million, fire departments face heightened risks in densely packed neighborhoods and industrial zones like La Candelaria and Suba.</w:t>
      </w:r>
    </w:p>
    <w:p>
      <w:pPr>
        <w:numPr>
          <w:ilvl w:val="0"/>
          <w:numId w:val="1001"/>
        </w:numPr>
        <w:pStyle w:val="Compact"/>
      </w:pPr>
      <w:r>
        <w:rPr>
          <w:bCs/>
          <w:b/>
        </w:rPr>
        <w:t xml:space="preserve">Climate Vulnerabilities:</w:t>
      </w:r>
      <w:r>
        <w:t xml:space="preserve"> </w:t>
      </w:r>
      <w:r>
        <w:t xml:space="preserve">Drier seasons increase wildfire risks in the surrounding Andean foothills, requiring specialized firefighting gear for wildland-urban interface (WUI) operations.</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(USD)</w:t>
            </w:r>
          </w:p>
        </w:tc>
        <w:tc>
          <w:tcPr/>
          <w:p>
            <w:pPr>
              <w:pStyle w:val="Compact"/>
              <w:jc w:val="left"/>
            </w:pPr>
            <w:r>
              <w:t xml:space="preserve">% YoY Growth</w:t>
            </w:r>
          </w:p>
        </w:tc>
        <w:tc>
          <w:tcPr/>
          <w:p>
            <w:pPr>
              <w:pStyle w:val="Compact"/>
              <w:jc w:val="left"/>
            </w:pPr>
            <w:r>
              <w:t xml:space="preserve">Primary Buyer Segments</w:t>
            </w:r>
          </w:p>
        </w:tc>
      </w:tr>
      <w:tr>
        <w:tc>
          <w:tcPr/>
          <w:p>
            <w:pPr>
              <w:pStyle w:val="Compact"/>
              <w:jc w:val="left"/>
            </w:pPr>
            <w:r>
              <w:t xml:space="preserve">Advanced Thermal-Protective Gear</w:t>
            </w:r>
          </w:p>
        </w:tc>
        <w:tc>
          <w:tcPr/>
          <w:p>
            <w:pPr>
              <w:pStyle w:val="Compact"/>
              <w:jc w:val="left"/>
            </w:pPr>
            <w:r>
              <w:t xml:space="preserve">$185,000</w:t>
            </w:r>
          </w:p>
        </w:tc>
        <w:tc>
          <w:tcPr/>
          <w:p>
            <w:pPr>
              <w:pStyle w:val="Compact"/>
              <w:jc w:val="left"/>
            </w:pPr>
            <w:r>
              <w:t xml:space="preserve">+24%</w:t>
            </w:r>
          </w:p>
        </w:tc>
        <w:tc>
          <w:tcPr/>
          <w:p>
            <w:pPr>
              <w:pStyle w:val="Compact"/>
              <w:jc w:val="left"/>
            </w:pPr>
            <w:r>
              <w:t xml:space="preserve">Municipal Fire Stations (75%), Private Security Firms (25%)</w:t>
            </w:r>
          </w:p>
        </w:tc>
      </w:tr>
      <w:tr>
        <w:tc>
          <w:tcPr/>
          <w:p>
            <w:pPr>
              <w:pStyle w:val="Compact"/>
              <w:jc w:val="left"/>
            </w:pPr>
            <w:r>
              <w:t xml:space="preserve">Portable Fire Extinguishing Systems</w:t>
            </w:r>
          </w:p>
        </w:tc>
        <w:tc>
          <w:tcPr/>
          <w:p>
            <w:pPr>
              <w:pStyle w:val="Compact"/>
              <w:jc w:val="left"/>
            </w:pPr>
            <w:r>
              <w:t xml:space="preserve">$98,500</w:t>
            </w:r>
          </w:p>
        </w:tc>
        <w:tc>
          <w:tcPr/>
          <w:p>
            <w:pPr>
              <w:pStyle w:val="Compact"/>
              <w:jc w:val="left"/>
            </w:pPr>
            <w:r>
              <w:t xml:space="preserve">+18%</w:t>
            </w:r>
          </w:p>
        </w:tc>
        <w:tc>
          <w:tcPr/>
          <w:p>
            <w:pPr>
              <w:pStyle w:val="Compact"/>
              <w:jc w:val="left"/>
            </w:pPr>
            <w:r>
              <w:t xml:space="preserve">Commercial Buildings, Hospitals (42%), Industrial Parks (35%)</w:t>
            </w:r>
          </w:p>
        </w:tc>
      </w:tr>
      <w:tr>
        <w:tc>
          <w:tcPr/>
          <w:p>
            <w:pPr>
              <w:pStyle w:val="Compact"/>
              <w:jc w:val="left"/>
            </w:pPr>
            <w:r>
              <w:t xml:space="preserve">Firefighter Training Modules (VR/AR)</w:t>
            </w:r>
          </w:p>
        </w:tc>
        <w:tc>
          <w:tcPr/>
          <w:p>
            <w:pPr>
              <w:pStyle w:val="Compact"/>
              <w:jc w:val="left"/>
            </w:pPr>
            <w:r>
              <w:t xml:space="preserve">$67,200</w:t>
            </w:r>
          </w:p>
        </w:tc>
        <w:tc>
          <w:tcPr/>
          <w:p>
            <w:pPr>
              <w:pStyle w:val="Compact"/>
              <w:jc w:val="left"/>
            </w:pPr>
            <w:r>
              <w:t xml:space="preserve">+31%</w:t>
            </w:r>
          </w:p>
        </w:tc>
        <w:tc>
          <w:tcPr/>
          <w:p>
            <w:pPr>
              <w:pStyle w:val="Compact"/>
              <w:jc w:val="left"/>
            </w:pPr>
            <w:r>
              <w:t xml:space="preserve">Colombia National Fire Academy, Municipal Departments</w:t>
            </w:r>
          </w:p>
        </w:tc>
      </w:tr>
      <w:tr>
        <w:tc>
          <w:tcPr/>
          <w:p>
            <w:pPr>
              <w:pStyle w:val="Compact"/>
              <w:jc w:val="left"/>
            </w:pPr>
            <w:r>
              <w:t xml:space="preserve">Total</w:t>
            </w:r>
          </w:p>
        </w:tc>
        <w:tc>
          <w:tcPr/>
          <w:p>
            <w:pPr>
              <w:pStyle w:val="Compact"/>
              <w:jc w:val="left"/>
            </w:pPr>
            <w:r>
              <w:rPr>
                <w:bCs/>
                <w:b/>
              </w:rPr>
              <w:t xml:space="preserve">$350,700</w:t>
            </w:r>
          </w:p>
        </w:tc>
        <w:tc>
          <w:tcPr/>
          <w:p>
            <w:pPr>
              <w:pStyle w:val="Compact"/>
              <w:jc w:val="left"/>
            </w:pPr>
            <w:r>
              <w:rPr>
                <w:bCs/>
                <w:b/>
              </w:rPr>
              <w:t xml:space="preserve">+22%</w:t>
            </w:r>
          </w:p>
        </w:tc>
        <w:tc>
          <w:tcPr/>
          <w:p>
            <w:pPr>
              <w:pStyle w:val="Compact"/>
            </w:pPr>
          </w:p>
        </w:tc>
      </w:tr>
    </w:tbl>
    <w:p>
      <w:pPr>
        <w:pStyle w:val="BodyText"/>
      </w:pPr>
      <w:r>
        <w:t xml:space="preserve">Notably, the demand for thermal-protective gear surged following a high-profile fire at the El Retiro commercial complex in August 2023. Our company supplied 1,850 firefighter uniforms to Bogotá's municipal fire department within 48 hours – demonstrating rapid response capabilities critical for emergency procurement.</w:t>
      </w:r>
    </w:p>
    <w:bookmarkEnd w:id="22"/>
    <w:bookmarkStart w:id="23" w:name="iv.-strategic-success-factors"/>
    <w:p>
      <w:pPr>
        <w:pStyle w:val="Heading2"/>
      </w:pPr>
      <w:r>
        <w:t xml:space="preserve">IV. Strategic Success Factors</w:t>
      </w:r>
    </w:p>
    <w:p>
      <w:pPr>
        <w:pStyle w:val="FirstParagraph"/>
      </w:pPr>
      <w:r>
        <w:t xml:space="preserve">Three key initiatives drove our Colombia Bogotá sales momentum:</w:t>
      </w:r>
    </w:p>
    <w:p>
      <w:pPr>
        <w:numPr>
          <w:ilvl w:val="0"/>
          <w:numId w:val="1002"/>
        </w:numPr>
        <w:pStyle w:val="Compact"/>
      </w:pPr>
      <w:r>
        <w:rPr>
          <w:bCs/>
          <w:b/>
        </w:rPr>
        <w:t xml:space="preserve">Cultural Adaptation:</w:t>
      </w:r>
      <w:r>
        <w:t xml:space="preserve"> </w:t>
      </w:r>
      <w:r>
        <w:t xml:space="preserve">We redesigned gear specifications to accommodate Bogotá's high-altitude conditions (reducing oxygen consumption by 18% in tests), directly addressing a pain point identified through consultations with the Cuerpo de Bomberos de Bogotá.</w:t>
      </w:r>
    </w:p>
    <w:p>
      <w:pPr>
        <w:numPr>
          <w:ilvl w:val="0"/>
          <w:numId w:val="1002"/>
        </w:numPr>
        <w:pStyle w:val="Compact"/>
      </w:pPr>
      <w:r>
        <w:rPr>
          <w:bCs/>
          <w:b/>
        </w:rPr>
        <w:t xml:space="preserve">Government Partnership:</w:t>
      </w:r>
      <w:r>
        <w:t xml:space="preserve"> </w:t>
      </w:r>
      <w:r>
        <w:t xml:space="preserve">Collaborated with Colombia's Ministry of Interior to develop a subsidized equipment program for under-resourced fire stations, securing contracts for 12 units across municipalities bordering Bogotá.</w:t>
      </w:r>
    </w:p>
    <w:p>
      <w:pPr>
        <w:numPr>
          <w:ilvl w:val="0"/>
          <w:numId w:val="1002"/>
        </w:numPr>
        <w:pStyle w:val="Compact"/>
      </w:pPr>
      <w:r>
        <w:rPr>
          <w:bCs/>
          <w:b/>
        </w:rPr>
        <w:t xml:space="preserve">Tech-Integrated Training:</w:t>
      </w:r>
      <w:r>
        <w:t xml:space="preserve"> </w:t>
      </w:r>
      <w:r>
        <w:t xml:space="preserve">Our VR firefighter training platform (deployed at the National Fire Academy) reduced on-site training costs by 37% while improving emergency response simulation accuracy for Bogotá's unique urban terrain scenarios.</w:t>
      </w:r>
    </w:p>
    <w:bookmarkEnd w:id="23"/>
    <w:bookmarkStart w:id="24" w:name="v.-challenges-and-market-insights"/>
    <w:p>
      <w:pPr>
        <w:pStyle w:val="Heading2"/>
      </w:pPr>
      <w:r>
        <w:t xml:space="preserve">V. Challenges and Market Insights</w:t>
      </w:r>
    </w:p>
    <w:p>
      <w:pPr>
        <w:pStyle w:val="FirstParagraph"/>
      </w:pPr>
      <w:r>
        <w:t xml:space="preserve">Despite growth, several challenges persist in Colombia Bogotá:</w:t>
      </w:r>
    </w:p>
    <w:p>
      <w:pPr>
        <w:numPr>
          <w:ilvl w:val="0"/>
          <w:numId w:val="1003"/>
        </w:numPr>
        <w:pStyle w:val="Compact"/>
      </w:pPr>
      <w:r>
        <w:rPr>
          <w:bCs/>
          <w:b/>
        </w:rPr>
        <w:t xml:space="preserve">Logistical Constraints:</w:t>
      </w:r>
      <w:r>
        <w:t xml:space="preserve"> </w:t>
      </w:r>
      <w:r>
        <w:t xml:space="preserve">Mountainous terrain and traffic congestion in central Bogotá delay deliveries by 15-20%. We are establishing a dedicated distribution hub at the Aeropuerto El Dorado to mitigate this.</w:t>
      </w:r>
    </w:p>
    <w:p>
      <w:pPr>
        <w:numPr>
          <w:ilvl w:val="0"/>
          <w:numId w:val="1003"/>
        </w:numPr>
        <w:pStyle w:val="Compact"/>
      </w:pPr>
      <w:r>
        <w:rPr>
          <w:bCs/>
          <w:b/>
        </w:rPr>
        <w:t xml:space="preserve">Competitive Landscape:</w:t>
      </w:r>
      <w:r>
        <w:t xml:space="preserve"> </w:t>
      </w:r>
      <w:r>
        <w:t xml:space="preserve">Local manufacturers offered 12% lower pricing on basic equipment, but we countered by emphasizing our gear's 5-year warranty – critical for fire service budgeting in Colombia.</w:t>
      </w:r>
    </w:p>
    <w:p>
      <w:pPr>
        <w:numPr>
          <w:ilvl w:val="0"/>
          <w:numId w:val="1003"/>
        </w:numPr>
        <w:pStyle w:val="Compact"/>
      </w:pPr>
      <w:r>
        <w:rPr>
          <w:bCs/>
          <w:b/>
        </w:rPr>
        <w:t xml:space="preserve">Economic Pressures:</w:t>
      </w:r>
      <w:r>
        <w:t xml:space="preserve"> </w:t>
      </w:r>
      <w:r>
        <w:t xml:space="preserve">Inflation in Colombia has increased material costs by 9%, requiring flexible pricing models. Our tiered subscription approach (e.g., "Gear-as-a-Service") secured long-term contracts despite economic volatility.</w:t>
      </w:r>
    </w:p>
    <w:bookmarkEnd w:id="24"/>
    <w:bookmarkStart w:id="25" w:name="vi.-future-strategy-for-colombia-bogotá"/>
    <w:p>
      <w:pPr>
        <w:pStyle w:val="Heading2"/>
      </w:pPr>
      <w:r>
        <w:t xml:space="preserve">VI. Future Strategy for Colombia Bogotá</w:t>
      </w:r>
    </w:p>
    <w:p>
      <w:pPr>
        <w:pStyle w:val="FirstParagraph"/>
      </w:pPr>
      <w:r>
        <w:t xml:space="preserve">Based on Q3 performance, we recommend:</w:t>
      </w:r>
    </w:p>
    <w:p>
      <w:pPr>
        <w:numPr>
          <w:ilvl w:val="0"/>
          <w:numId w:val="1004"/>
        </w:numPr>
        <w:pStyle w:val="Compact"/>
      </w:pPr>
      <w:r>
        <w:rPr>
          <w:bCs/>
          <w:b/>
        </w:rPr>
        <w:t xml:space="preserve">Expand High-Altitude Product Line:</w:t>
      </w:r>
      <w:r>
        <w:t xml:space="preserve"> </w:t>
      </w:r>
      <w:r>
        <w:t xml:space="preserve">Develop specialized breathing apparatus for Bogotá's altitude (current gear loses 15% efficacy at 2,640m), targeting the full municipal fleet by Q2 2024.</w:t>
      </w:r>
    </w:p>
    <w:p>
      <w:pPr>
        <w:numPr>
          <w:ilvl w:val="0"/>
          <w:numId w:val="1004"/>
        </w:numPr>
        <w:pStyle w:val="Compact"/>
      </w:pPr>
      <w:r>
        <w:rPr>
          <w:bCs/>
          <w:b/>
        </w:rPr>
        <w:t xml:space="preserve">Government Contract Expansion:</w:t>
      </w:r>
      <w:r>
        <w:t xml:space="preserve"> </w:t>
      </w:r>
      <w:r>
        <w:t xml:space="preserve">Pursue Colombia's National Fire Safety Program (Programa Nacional de Seguridad contra Incendios) for nationwide equipment standardization, starting with Bogotá as a pilot city.</w:t>
      </w:r>
    </w:p>
    <w:p>
      <w:pPr>
        <w:numPr>
          <w:ilvl w:val="0"/>
          <w:numId w:val="1004"/>
        </w:numPr>
        <w:pStyle w:val="Compact"/>
      </w:pPr>
      <w:r>
        <w:rPr>
          <w:bCs/>
          <w:b/>
        </w:rPr>
        <w:t xml:space="preserve">Cross-Sell Training Programs:</w:t>
      </w:r>
      <w:r>
        <w:t xml:space="preserve"> </w:t>
      </w:r>
      <w:r>
        <w:t xml:space="preserve">Bundle training services with equipment sales (current cross-sell rate: 32% – target: 65%). Our VR platform already achieved 94% satisfaction in Bogotá's firefighter trials.</w:t>
      </w:r>
    </w:p>
    <w:bookmarkEnd w:id="25"/>
    <w:bookmarkStart w:id="26" w:name="vii.-conclusion"/>
    <w:p>
      <w:pPr>
        <w:pStyle w:val="Heading2"/>
      </w:pPr>
      <w:r>
        <w:t xml:space="preserve">VII. Conclusion</w:t>
      </w:r>
    </w:p>
    <w:p>
      <w:pPr>
        <w:pStyle w:val="FirstParagraph"/>
      </w:pPr>
      <w:r>
        <w:t xml:space="preserve">This Sales Report confirms that Colombia Bogotá represents a high-priority market for firefighter solutions, driven by regulatory shifts, urban risks, and the city's status as Colombia's emergency response hub. Our 22% YoY growth demonstrates not just product viability but strategic alignment with Bogotá's fire service evolution. The future success of every firefighter in this capital city depends on reliable equipment and adaptive training – areas where our company has established demonstrable value. As Bogotá continues to grow, the demand for specialized firefighter solutions will intensify; we are positioned to become the trusted partner for Colombia's fire service through continued innovation tailored to Bogotá's unique environment.</w:t>
      </w:r>
    </w:p>
    <w:p>
      <w:pPr>
        <w:pStyle w:val="BodyText"/>
      </w:pPr>
      <w:r>
        <w:rPr>
          <w:bCs/>
          <w:b/>
        </w:rPr>
        <w:t xml:space="preserve">Key Takeaway:</w:t>
      </w:r>
      <w:r>
        <w:t xml:space="preserve"> </w:t>
      </w:r>
      <w:r>
        <w:t xml:space="preserve">In Colombia Bogotá, where every minute counts in emergency response, our sales success directly translates to enhanced firefighter safety and community protection. This report underscores that investing in specialized equipment isn't merely a commercial opportunity – it's an essential contribution to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Colombia Bogotá</dc:title>
  <dc:creator/>
  <dc:language>en</dc:language>
  <cp:keywords/>
  <dcterms:created xsi:type="dcterms:W3CDTF">2025-12-11T06:21:49Z</dcterms:created>
  <dcterms:modified xsi:type="dcterms:W3CDTF">2025-12-11T06:21:49Z</dcterms:modified>
</cp:coreProperties>
</file>

<file path=docProps/custom.xml><?xml version="1.0" encoding="utf-8"?>
<Properties xmlns="http://schemas.openxmlformats.org/officeDocument/2006/custom-properties" xmlns:vt="http://schemas.openxmlformats.org/officeDocument/2006/docPropsVTypes"/>
</file>