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6" w:name="Xc515343bdd8f7cb325e20b7964719b8338b1401"/>
    <w:p>
      <w:pPr>
        <w:pStyle w:val="Heading1"/>
      </w:pPr>
      <w:r>
        <w:t xml:space="preserve">Sales Report: Advanced Firefighter Equipment Deployment in Russia Moscow</w:t>
      </w:r>
    </w:p>
    <w:p>
      <w:pPr>
        <w:pStyle w:val="FirstParagraph"/>
      </w:pPr>
      <w:r>
        <w:t xml:space="preserve">This comprehensive Sales Report examines the strategic implementation and market performance of cutting-edge Firefighter safety technology within the critical urban environment of Russia Moscow. As the capital city with over 13 million residents, densely packed infrastructure, and unique climatic challenges, Moscow demands specialized firefighting solutions. This document details our successful adoption trajectory across Moscow's fire service network, demonstrating tangible improvements in emergency response capabilities since our Firefighter equipment integration began in Q1 2023.</w:t>
      </w:r>
    </w:p>
    <w:bookmarkStart w:id="20" w:name="X3e673acdafb7833250fa0a375998945ddb70250"/>
    <w:p>
      <w:pPr>
        <w:pStyle w:val="Heading2"/>
      </w:pPr>
      <w:r>
        <w:t xml:space="preserve">Market Context: Why Russia Moscow Demands Modern Firefighter Solutions</w:t>
      </w:r>
    </w:p>
    <w:p>
      <w:pPr>
        <w:pStyle w:val="FirstParagraph"/>
      </w:pPr>
      <w:r>
        <w:t xml:space="preserve">Moscow's firefighting landscape presents distinct complexities requiring advanced Firefighter support systems. The city's historic architecture, including centuries-old wooden structures in districts like Zamoskvorechye, combines with modern high-rises to create multi-layered fire risk profiles. Russia Moscow faces severe winter conditions (average January temperatures: -10°C to -15°C) that challenge equipment reliability and personnel endurance. According to the Moscow Fire Department's 2023 annual report, thermal imaging technology reduced response times by 37% during low-visibility winter incidents – a statistic directly influencing our sales strategy. This Sales Report confirms that Moscow's fire service prioritizes innovation, driving a 42% YoY increase in procurement for specialized Firefighter gear since the national "Urban Safety Modernization Initiative" launched in 2021.</w:t>
      </w:r>
    </w:p>
    <w:bookmarkEnd w:id="20"/>
    <w:bookmarkStart w:id="21" w:name="X429c7dc55a793b9bdc9fff0c3cc58aacb58b461"/>
    <w:p>
      <w:pPr>
        <w:pStyle w:val="Heading2"/>
      </w:pPr>
      <w:r>
        <w:t xml:space="preserve">Product Performance: Firefighter Gear Adoption Metrics in Russia Moscow</w:t>
      </w:r>
    </w:p>
    <w:p>
      <w:pPr>
        <w:pStyle w:val="FirstParagraph"/>
      </w:pPr>
      <w:r>
        <w:t xml:space="preserve">The core of our Sales Report analysis focuses on our flagship "Arctic Guardian" Firefighter ensemble, specifically engineered for Moscow's extreme conditions. This system includes:</w:t>
      </w:r>
    </w:p>
    <w:p>
      <w:pPr>
        <w:numPr>
          <w:ilvl w:val="0"/>
          <w:numId w:val="1001"/>
        </w:numPr>
        <w:pStyle w:val="Compact"/>
      </w:pPr>
      <w:r>
        <w:t xml:space="preserve">Thermal-resistant outer layer (tested to 300°C/572°F)</w:t>
      </w:r>
    </w:p>
    <w:p>
      <w:pPr>
        <w:numPr>
          <w:ilvl w:val="0"/>
          <w:numId w:val="1001"/>
        </w:numPr>
        <w:pStyle w:val="Compact"/>
      </w:pPr>
      <w:r>
        <w:t xml:space="preserve">Integrated GPS tracking with Moscow-specific building database</w:t>
      </w:r>
    </w:p>
    <w:p>
      <w:pPr>
        <w:numPr>
          <w:ilvl w:val="0"/>
          <w:numId w:val="1001"/>
        </w:numPr>
        <w:pStyle w:val="Compact"/>
      </w:pPr>
      <w:r>
        <w:t xml:space="preserve">Heated breathing apparatus for sub-zero operations</w:t>
      </w:r>
    </w:p>
    <w:p>
      <w:pPr>
        <w:numPr>
          <w:ilvl w:val="0"/>
          <w:numId w:val="1001"/>
        </w:numPr>
        <w:pStyle w:val="Compact"/>
      </w:pPr>
      <w:r>
        <w:t xml:space="preserve">Nano-coating for ice resistance on ladders and equipment</w:t>
      </w:r>
    </w:p>
    <w:p>
      <w:pPr>
        <w:pStyle w:val="FirstParagraph"/>
      </w:pPr>
      <w:r>
        <w:t xml:space="preserve">In the first nine months of 2023, Moscow Fire Department (MFD) units deployed our Firefighter gear across all 57 operational stations. Key results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Q1-Q3 2023</w:t>
            </w:r>
          </w:p>
        </w:tc>
        <w:tc>
          <w:tcPr/>
          <w:p>
            <w:pPr>
              <w:pStyle w:val="Compact"/>
              <w:jc w:val="left"/>
            </w:pPr>
            <w:r>
              <w:t xml:space="preserve">Q4 2022 (Baseline)</w:t>
            </w:r>
          </w:p>
        </w:tc>
        <w:tc>
          <w:tcPr/>
          <w:p>
            <w:pPr>
              <w:pStyle w:val="Compact"/>
              <w:jc w:val="left"/>
            </w:pPr>
            <w:r>
              <w:t xml:space="preserve">% Improvement</w:t>
            </w:r>
          </w:p>
        </w:tc>
      </w:tr>
      <w:tr>
        <w:tc>
          <w:tcPr/>
          <w:p>
            <w:pPr>
              <w:pStyle w:val="Compact"/>
              <w:jc w:val="left"/>
            </w:pPr>
            <w:r>
              <w:t xml:space="preserve">Equipment Deployment Rate (Moscow Stations)</w:t>
            </w:r>
          </w:p>
        </w:tc>
        <w:tc>
          <w:tcPr/>
          <w:p>
            <w:pPr>
              <w:pStyle w:val="Compact"/>
              <w:jc w:val="left"/>
            </w:pPr>
            <w:r>
              <w:t xml:space="preserve">100%</w:t>
            </w:r>
          </w:p>
        </w:tc>
        <w:tc>
          <w:tcPr/>
          <w:p>
            <w:pPr>
              <w:pStyle w:val="Compact"/>
              <w:jc w:val="left"/>
            </w:pPr>
            <w:r>
              <w:t xml:space="preserve">68%</w:t>
            </w:r>
          </w:p>
        </w:tc>
        <w:tc>
          <w:tcPr/>
          <w:p>
            <w:pPr>
              <w:pStyle w:val="Compact"/>
              <w:jc w:val="left"/>
            </w:pPr>
            <w:r>
              <w:t xml:space="preserve">+47.1%</w:t>
            </w:r>
          </w:p>
        </w:tc>
      </w:tr>
      <w:tr>
        <w:tc>
          <w:tcPr/>
          <w:p>
            <w:pPr>
              <w:pStyle w:val="Compact"/>
              <w:jc w:val="left"/>
            </w:pPr>
            <w:r>
              <w:t xml:space="preserve">Average Response Time in Winter Conditions</w:t>
            </w:r>
          </w:p>
        </w:tc>
        <w:tc>
          <w:tcPr/>
          <w:p>
            <w:pPr>
              <w:pStyle w:val="Compact"/>
              <w:jc w:val="left"/>
            </w:pPr>
            <w:r>
              <w:t xml:space="preserve">9.2 minutes</w:t>
            </w:r>
          </w:p>
        </w:tc>
        <w:tc>
          <w:tcPr/>
          <w:p>
            <w:pPr>
              <w:pStyle w:val="Compact"/>
              <w:jc w:val="left"/>
            </w:pPr>
            <w:r>
              <w:t xml:space="preserve">15.7 minutes</w:t>
            </w:r>
          </w:p>
        </w:tc>
        <w:tc>
          <w:tcPr/>
          <w:p>
            <w:pPr>
              <w:pStyle w:val="Compact"/>
              <w:jc w:val="left"/>
            </w:pPr>
            <w:r>
              <w:t xml:space="preserve">-41.4%</w:t>
            </w:r>
          </w:p>
        </w:tc>
      </w:tr>
      <w:tr>
        <w:tc>
          <w:tcPr/>
          <w:p>
            <w:pPr>
              <w:pStyle w:val="Compact"/>
              <w:jc w:val="left"/>
            </w:pPr>
            <w:r>
              <w:t xml:space="preserve">Firefighter Safety Incidents (Reported)</w:t>
            </w:r>
          </w:p>
        </w:tc>
        <w:tc>
          <w:tcPr/>
          <w:p>
            <w:pPr>
              <w:pStyle w:val="Compact"/>
              <w:jc w:val="left"/>
            </w:pPr>
            <w:r>
              <w:t xml:space="preserve">28 cases</w:t>
            </w:r>
          </w:p>
        </w:tc>
        <w:tc>
          <w:tcPr/>
          <w:p>
            <w:pPr>
              <w:pStyle w:val="Compact"/>
              <w:jc w:val="left"/>
            </w:pPr>
            <w:r>
              <w:t xml:space="preserve">76 cases</w:t>
            </w:r>
          </w:p>
        </w:tc>
        <w:tc>
          <w:tcPr/>
          <w:p>
            <w:pPr>
              <w:pStyle w:val="Compact"/>
              <w:jc w:val="left"/>
            </w:pPr>
            <w:r>
              <w:t xml:space="preserve">-63.2%</w:t>
            </w:r>
          </w:p>
        </w:tc>
      </w:tr>
    </w:tbl>
    <w:p>
      <w:pPr>
        <w:pStyle w:val="BodyText"/>
      </w:pPr>
      <w:r>
        <w:t xml:space="preserve">The data conclusively demonstrates that Moscow's Firefighter teams equipped with our technology achieve significantly higher operational safety and efficiency. This directly supports Russia's national fire safety targets, which prioritize Moscow as a flagship city for emergency response modernization.</w:t>
      </w:r>
    </w:p>
    <w:bookmarkEnd w:id="21"/>
    <w:bookmarkStart w:id="22" w:name="X89bd2fddbdf4dd9a23e7c7c48ac866666460a9f"/>
    <w:p>
      <w:pPr>
        <w:pStyle w:val="Heading2"/>
      </w:pPr>
      <w:r>
        <w:t xml:space="preserve">Strategic Partnerships Driving Russia Moscow Market Penetration</w:t>
      </w:r>
    </w:p>
    <w:p>
      <w:pPr>
        <w:pStyle w:val="FirstParagraph"/>
      </w:pPr>
      <w:r>
        <w:t xml:space="preserve">Our Sales Report highlights three critical partnerships that accelerated Firefighter adoption in Moscow:</w:t>
      </w:r>
    </w:p>
    <w:p>
      <w:pPr>
        <w:numPr>
          <w:ilvl w:val="0"/>
          <w:numId w:val="1002"/>
        </w:numPr>
        <w:pStyle w:val="Compact"/>
      </w:pPr>
      <w:r>
        <w:rPr>
          <w:bCs/>
          <w:b/>
        </w:rPr>
        <w:t xml:space="preserve">Moscow City Emergency Management Department (MCEMD):</w:t>
      </w:r>
      <w:r>
        <w:t xml:space="preserve"> </w:t>
      </w:r>
      <w:r>
        <w:t xml:space="preserve">Co-developed the "Moscow Firefighter Digital Integration Protocol" for seamless tech compatibility across all MFD systems.</w:t>
      </w:r>
    </w:p>
    <w:p>
      <w:pPr>
        <w:numPr>
          <w:ilvl w:val="0"/>
          <w:numId w:val="1002"/>
        </w:numPr>
        <w:pStyle w:val="Compact"/>
      </w:pPr>
      <w:r>
        <w:rPr>
          <w:bCs/>
          <w:b/>
        </w:rPr>
        <w:t xml:space="preserve">Russian Federal Fire Academy (St. Petersburg):</w:t>
      </w:r>
      <w:r>
        <w:t xml:space="preserve"> </w:t>
      </w:r>
      <w:r>
        <w:t xml:space="preserve">Joint training programs ensuring Moscow's Firefighter personnel master equipment usage during extreme cold simulations.</w:t>
      </w:r>
    </w:p>
    <w:p>
      <w:pPr>
        <w:numPr>
          <w:ilvl w:val="0"/>
          <w:numId w:val="1002"/>
        </w:numPr>
        <w:pStyle w:val="Compact"/>
      </w:pPr>
      <w:r>
        <w:rPr>
          <w:bCs/>
          <w:b/>
        </w:rPr>
        <w:t xml:space="preserve">Local Manufacturing Consortium "Sputnik Safety":</w:t>
      </w:r>
      <w:r>
        <w:t xml:space="preserve"> </w:t>
      </w:r>
      <w:r>
        <w:t xml:space="preserve">Established a Moscow-based assembly facility to comply with Russia's import regulations and reduce lead times from 45 to 7 days for critical parts.</w:t>
      </w:r>
    </w:p>
    <w:p>
      <w:pPr>
        <w:pStyle w:val="FirstParagraph"/>
      </w:pPr>
      <w:r>
        <w:t xml:space="preserve">This localized approach addressed key objections from Moscow fire service leadership regarding maintenance accessibility and compliance with Russian GOST standards. The "Sputnik Safety" partnership has become a model for our Russia Moscow market strategy, directly contributing to our 89% customer retention rate among Moscow fire departments.</w:t>
      </w:r>
    </w:p>
    <w:bookmarkEnd w:id="22"/>
    <w:bookmarkStart w:id="23" w:name="Xa0cbb04abfb0d697adb67f29fa0f3ed1221adca"/>
    <w:p>
      <w:pPr>
        <w:pStyle w:val="Heading2"/>
      </w:pPr>
      <w:r>
        <w:t xml:space="preserve">Challenges and Adaptation in the Russia Moscow Environment</w:t>
      </w:r>
    </w:p>
    <w:p>
      <w:pPr>
        <w:pStyle w:val="FirstParagraph"/>
      </w:pPr>
      <w:r>
        <w:t xml:space="preserve">While sales momentum is strong, this Sales Report acknowledges regional challenges. Initial resistance centered on concerns about equipment compatibility with older MFD vehicles. Our technical team resolved this through on-site modifications at Moscow's Fire Equipment Workshop #3, demonstrating our commitment to Russia Moscow operational needs. Another key challenge was navigating the Russian regulatory landscape – specifically Rosstandart certification for thermal gear. We partnered with Moscow-based certifiers to accelerate approvals by 63%, a critical factor in securing the MFD's 2023 procurement contract.</w:t>
      </w:r>
    </w:p>
    <w:p>
      <w:pPr>
        <w:pStyle w:val="BodyText"/>
      </w:pPr>
      <w:r>
        <w:t xml:space="preserve">Notably, cultural adaptation proved vital. Moscow Firefighter teams value operational pragmatism over marketing claims. Our Sales Report emphasizes that technical briefings with Moscow commanders (conducted in Russian with localized case studies) significantly outperformed standard presentations – a lesson applied across all Russia Moscow engagements.</w:t>
      </w:r>
    </w:p>
    <w:bookmarkEnd w:id="23"/>
    <w:bookmarkStart w:id="24" w:name="X243a61a6add1a7c62ed86b3f7570df5dd2feb9a"/>
    <w:p>
      <w:pPr>
        <w:pStyle w:val="Heading2"/>
      </w:pPr>
      <w:r>
        <w:t xml:space="preserve">Future Outlook: Firefighter Innovation Roadmap for Russia Moscow</w:t>
      </w:r>
    </w:p>
    <w:p>
      <w:pPr>
        <w:pStyle w:val="FirstParagraph"/>
      </w:pPr>
      <w:r>
        <w:t xml:space="preserve">Based on current Sales Report data, our 2024 strategy focuses on three Moscow-specific priorities:</w:t>
      </w:r>
    </w:p>
    <w:p>
      <w:pPr>
        <w:numPr>
          <w:ilvl w:val="0"/>
          <w:numId w:val="1003"/>
        </w:numPr>
        <w:pStyle w:val="Compact"/>
      </w:pPr>
      <w:r>
        <w:rPr>
          <w:bCs/>
          <w:b/>
        </w:rPr>
        <w:t xml:space="preserve">AI-Powered Incident Prediction:</w:t>
      </w:r>
      <w:r>
        <w:t xml:space="preserve"> </w:t>
      </w:r>
      <w:r>
        <w:t xml:space="preserve">Integrating with Moscow's Smart City infrastructure to forecast high-risk fire zones (e.g., historic districts during heatwaves) before incidents occur.</w:t>
      </w:r>
    </w:p>
    <w:p>
      <w:pPr>
        <w:numPr>
          <w:ilvl w:val="0"/>
          <w:numId w:val="1003"/>
        </w:numPr>
        <w:pStyle w:val="Compact"/>
      </w:pPr>
      <w:r>
        <w:rPr>
          <w:bCs/>
          <w:b/>
        </w:rPr>
        <w:t xml:space="preserve">Local Manufacturing Expansion:</w:t>
      </w:r>
      <w:r>
        <w:t xml:space="preserve"> </w:t>
      </w:r>
      <w:r>
        <w:t xml:space="preserve">Doubling capacity at the Sputnik Safety facility in Moscow's Krasnogorsk district to support nationwide expansion from Russia Moscow headquarters.</w:t>
      </w:r>
    </w:p>
    <w:p>
      <w:pPr>
        <w:numPr>
          <w:ilvl w:val="0"/>
          <w:numId w:val="1003"/>
        </w:numPr>
        <w:pStyle w:val="Compact"/>
      </w:pPr>
      <w:r>
        <w:rPr>
          <w:bCs/>
          <w:b/>
        </w:rPr>
        <w:t xml:space="preserve">Multilingual Firefighter Support System:</w:t>
      </w:r>
      <w:r>
        <w:t xml:space="preserve"> </w:t>
      </w:r>
      <w:r>
        <w:t xml:space="preserve">Adding Russian-language voice commands and interfaces for all equipment – a direct response to MFD feedback on communication barriers during emergencies.</w:t>
      </w:r>
    </w:p>
    <w:p>
      <w:pPr>
        <w:pStyle w:val="FirstParagraph"/>
      </w:pPr>
      <w:r>
        <w:t xml:space="preserve">Projected market impact: 65% adoption rate across Moscow's fire stations by Q4 2024, with an estimated 18% reduction in structural fire losses citywide. This aligns perfectly with Russia Moscow's "Zero Casualty Urban Fire Safety" initiative launched by Mayor Sobyanin.</w:t>
      </w:r>
    </w:p>
    <w:bookmarkEnd w:id="24"/>
    <w:bookmarkStart w:id="25" w:name="Xfe239bc8927fd94c2edd5d41363914f9c899191"/>
    <w:p>
      <w:pPr>
        <w:pStyle w:val="Heading2"/>
      </w:pPr>
      <w:r>
        <w:t xml:space="preserve">Conclusion: The Uncompromising Standard for Firefighter Excellence</w:t>
      </w:r>
    </w:p>
    <w:p>
      <w:pPr>
        <w:pStyle w:val="FirstParagraph"/>
      </w:pPr>
      <w:r>
        <w:t xml:space="preserve">This Sales Report underscores that successful implementation of advanced Firefighter technology in Russia Moscow requires more than product excellence – it demands deep cultural understanding, regulatory navigation, and localized innovation. Our partnership with Moscow's fire service has transformed our equipment from mere tools into life-saving assets integrated into the city's emergency response DNA. The 41% increase in firefighter safety metrics across Russia Moscow directly proves that investing in specialized Firefighter solutions is not just commercial success – it is a civic imperative for protecting one of the world's most dynamic cities. As Moscow continues its urban modernization journey, our commitment to pioneering Firefighter technology remains unwavering, setting the benchmark for emergency response excellence in Russia and beyond.</w:t>
      </w:r>
    </w:p>
    <w:p>
      <w:pPr>
        <w:pStyle w:val="BodyText"/>
      </w:pPr>
      <w:r>
        <w:rPr>
          <w:bCs/>
          <w:b/>
        </w:rPr>
        <w:t xml:space="preserve">Prepared For:</w:t>
      </w:r>
      <w:r>
        <w:t xml:space="preserve"> </w:t>
      </w:r>
      <w:r>
        <w:t xml:space="preserve">Global Safety Solutions Executive Leadership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Russia Moscow Fire Department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Russia Moscow Market Analysis</dc:title>
  <dc:creator/>
  <dc:language>en</dc:language>
  <cp:keywords/>
  <dcterms:created xsi:type="dcterms:W3CDTF">2026-07-21T13:17:27Z</dcterms:created>
  <dcterms:modified xsi:type="dcterms:W3CDTF">2026-07-21T13:17:27Z</dcterms:modified>
</cp:coreProperties>
</file>

<file path=docProps/custom.xml><?xml version="1.0" encoding="utf-8"?>
<Properties xmlns="http://schemas.openxmlformats.org/officeDocument/2006/custom-properties" xmlns:vt="http://schemas.openxmlformats.org/officeDocument/2006/docPropsVTypes"/>
</file>