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p>
    <w:bookmarkStart w:id="28" w:name="X8bfc23e8940d8deeb78badca46aca3154155343"/>
    <w:p>
      <w:pPr>
        <w:pStyle w:val="Heading1"/>
      </w:pPr>
      <w:r>
        <w:t xml:space="preserve">Sales Report: Geological Services Performance in Malaysia Kuala Lumpur (Q3 2023)</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Southeast Asia Sales Division, Geological Consulting Group</w:t>
      </w:r>
    </w:p>
    <w:bookmarkStart w:id="20" w:name="executive-summary"/>
    <w:p>
      <w:pPr>
        <w:pStyle w:val="Heading2"/>
      </w:pPr>
      <w:r>
        <w:t xml:space="preserve">Executive Summary</w:t>
      </w:r>
    </w:p>
    <w:p>
      <w:pPr>
        <w:pStyle w:val="FirstParagraph"/>
      </w:pPr>
      <w:r>
        <w:t xml:space="preserve">This comprehensive Sales Report details the performance of our geological services division within Malaysia Kuala Lumpur during the third quarter of 2023. As a leading provider of specialized geological expertise across Southeast Asia, our Kuala Lumpur-based geologist team achieved remarkable milestones in securing high-value contracts and expanding market share. The strategic focus on understanding Malaysia's unique subsurface challenges has driven a 34% year-over-year growth in revenue, with Kuala Lumpur serving as the operational epicenter for all regional geological service delivery. This report underscores how our committed geologist professionals have positioned us as the premier choice for mining, infrastructure, and environmental projects across Malaysia.</w:t>
      </w:r>
    </w:p>
    <w:bookmarkEnd w:id="20"/>
    <w:bookmarkStart w:id="21" w:name="X47cdc829229c0697a01e0faa2f5b4a07cfd9972"/>
    <w:p>
      <w:pPr>
        <w:pStyle w:val="Heading2"/>
      </w:pPr>
      <w:r>
        <w:t xml:space="preserve">Market Analysis: Geological Services Landscape in Kuala Lumpur</w:t>
      </w:r>
    </w:p>
    <w:p>
      <w:pPr>
        <w:pStyle w:val="FirstParagraph"/>
      </w:pPr>
      <w:r>
        <w:t xml:space="preserve">Kuala Lumpur's status as Malaysia's economic and administrative hub creates exceptional demand for advanced geological services. With rapid urbanization, major infrastructure projects like the East Coast Rail Link (ECRL), and growing mineral exploration interests, the city has become a critical market for geologists. Our analysis confirms that 78% of all mining concessions in Peninsular Malaysia are managed through Kuala Lumpur offices, making it indispensable for any geological services provider targeting Malaysia. The Geologist Association of Malaysia reported a 22% annual increase in demand for subsurface analysis services in KL alone during 2023, driven by government initiatives like the National Mineral Policy and sustainable development mandates.</w:t>
      </w:r>
    </w:p>
    <w:bookmarkEnd w:id="21"/>
    <w:bookmarkStart w:id="22" w:name="sales-performance-highlights"/>
    <w:p>
      <w:pPr>
        <w:pStyle w:val="Heading2"/>
      </w:pPr>
      <w:r>
        <w:t xml:space="preserve">Sales Performance Highlights</w:t>
      </w:r>
    </w:p>
    <w:p>
      <w:pPr>
        <w:pStyle w:val="FirstParagraph"/>
      </w:pPr>
      <w:r>
        <w:t xml:space="preserve">Our Kuala Lumpur-based geologist team exceeded quarterly targets through strategic client acquisition and service innovation:</w:t>
      </w:r>
    </w:p>
    <w:p>
      <w:pPr>
        <w:numPr>
          <w:ilvl w:val="0"/>
          <w:numId w:val="1001"/>
        </w:numPr>
        <w:pStyle w:val="Compact"/>
      </w:pPr>
      <w:r>
        <w:rPr>
          <w:bCs/>
          <w:b/>
        </w:rPr>
        <w:t xml:space="preserve">Revenue Growth:</w:t>
      </w:r>
      <w:r>
        <w:t xml:space="preserve"> </w:t>
      </w:r>
      <w:r>
        <w:t xml:space="preserve">Generated RM 8.7M (USD 1.9M) in Q3, representing a 34% increase from Q2 and 52% over same period last year.</w:t>
      </w:r>
    </w:p>
    <w:p>
      <w:pPr>
        <w:numPr>
          <w:ilvl w:val="0"/>
          <w:numId w:val="1001"/>
        </w:numPr>
        <w:pStyle w:val="Compact"/>
      </w:pPr>
      <w:r>
        <w:rPr>
          <w:bCs/>
          <w:b/>
        </w:rPr>
        <w:t xml:space="preserve">Key Contracts Secured:</w:t>
      </w:r>
      <w:r>
        <w:t xml:space="preserve"> </w:t>
      </w:r>
      <w:r>
        <w:t xml:space="preserve">Won three major projects including:</w:t>
      </w:r>
    </w:p>
    <w:p>
      <w:pPr>
        <w:numPr>
          <w:ilvl w:val="1"/>
          <w:numId w:val="1002"/>
        </w:numPr>
        <w:pStyle w:val="Compact"/>
      </w:pPr>
      <w:r>
        <w:t xml:space="preserve">Subsurface analysis for the MRT Phase 3 expansion (RM 3.2M)</w:t>
      </w:r>
    </w:p>
    <w:p>
      <w:pPr>
        <w:numPr>
          <w:ilvl w:val="1"/>
          <w:numId w:val="1002"/>
        </w:numPr>
        <w:pStyle w:val="Compact"/>
      </w:pPr>
      <w:r>
        <w:t xml:space="preserve">Environmental compliance assessment for a Malaysian copper mine (RM 2.1M)</w:t>
      </w:r>
    </w:p>
    <w:p>
      <w:pPr>
        <w:numPr>
          <w:ilvl w:val="1"/>
          <w:numId w:val="1002"/>
        </w:numPr>
        <w:pStyle w:val="Compact"/>
      </w:pPr>
      <w:r>
        <w:t xml:space="preserve">Sustainable land development survey for KL City Centre Redevelopment (RM 1.8M)</w:t>
      </w:r>
    </w:p>
    <w:bookmarkEnd w:id="22"/>
    <w:bookmarkStart w:id="23" w:name="geologist-driven-success-factors"/>
    <w:p>
      <w:pPr>
        <w:pStyle w:val="Heading2"/>
      </w:pPr>
      <w:r>
        <w:t xml:space="preserve">Geologist-Driven Success Factors</w:t>
      </w:r>
    </w:p>
    <w:p>
      <w:pPr>
        <w:pStyle w:val="FirstParagraph"/>
      </w:pPr>
      <w:r>
        <w:t xml:space="preserve">The exceptional performance stems directly from our highly specialized geologist workforce in Malaysia Kuala Lumpur. Our team of 15 certified geologists (including 4 PhDs in structural geology) has developed proprietary methodologies for tropical soil analysis and monsoon-affected terrain, setting us apart from competitors. Critical differentiators include:</w:t>
      </w:r>
    </w:p>
    <w:p>
      <w:pPr>
        <w:numPr>
          <w:ilvl w:val="0"/>
          <w:numId w:val="1003"/>
        </w:numPr>
        <w:pStyle w:val="Compact"/>
      </w:pPr>
      <w:r>
        <w:rPr>
          <w:bCs/>
          <w:b/>
        </w:rPr>
        <w:t xml:space="preserve">Localized Expertise:</w:t>
      </w:r>
      <w:r>
        <w:t xml:space="preserve"> </w:t>
      </w:r>
      <w:r>
        <w:t xml:space="preserve">In-depth understanding of Malaysia's complex geological formations (e.g., the Sunda Shelf's sedimentary basins) through 10+ years of KL-based fieldwork.</w:t>
      </w:r>
    </w:p>
    <w:p>
      <w:pPr>
        <w:numPr>
          <w:ilvl w:val="0"/>
          <w:numId w:val="1003"/>
        </w:numPr>
        <w:pStyle w:val="Compact"/>
      </w:pPr>
      <w:r>
        <w:rPr>
          <w:bCs/>
          <w:b/>
        </w:rPr>
        <w:t xml:space="preserve">Technology Integration:</w:t>
      </w:r>
      <w:r>
        <w:t xml:space="preserve"> </w:t>
      </w:r>
      <w:r>
        <w:t xml:space="preserve">Deployment of AI-driven subsurface modeling tools co-developed with Universiti Teknologi Malaysia, reducing survey timelines by 40% in Kuala Lumpur projects.</w:t>
      </w:r>
    </w:p>
    <w:p>
      <w:pPr>
        <w:numPr>
          <w:ilvl w:val="0"/>
          <w:numId w:val="1003"/>
        </w:numPr>
        <w:pStyle w:val="Compact"/>
      </w:pPr>
      <w:r>
        <w:rPr>
          <w:bCs/>
          <w:b/>
        </w:rPr>
        <w:t xml:space="preserve">Cultural Intelligence:</w:t>
      </w:r>
      <w:r>
        <w:t xml:space="preserve"> </w:t>
      </w:r>
      <w:r>
        <w:t xml:space="preserve">Our geologists maintain strong relationships with local authorities including the Department of Mineral and Geoscience (JMG) through regular technical workshops in KL.</w:t>
      </w:r>
    </w:p>
    <w:bookmarkEnd w:id="23"/>
    <w:bookmarkStart w:id="24" w:name="Xcd85e356cebd3cc44aab160753c406f894f0131"/>
    <w:p>
      <w:pPr>
        <w:pStyle w:val="Heading2"/>
      </w:pPr>
      <w:r>
        <w:t xml:space="preserve">Key Achievements in Malaysia Kuala Lumpur</w:t>
      </w:r>
    </w:p>
    <w:p>
      <w:pPr>
        <w:pStyle w:val="FirstParagraph"/>
      </w:pPr>
      <w:r>
        <w:t xml:space="preserve">The past quarter witnessed transformative projects demonstrating our geologist team's value to Malaysia's development:</w:t>
      </w:r>
    </w:p>
    <w:p>
      <w:pPr>
        <w:numPr>
          <w:ilvl w:val="0"/>
          <w:numId w:val="1004"/>
        </w:numPr>
        <w:pStyle w:val="Compact"/>
      </w:pPr>
      <w:r>
        <w:rPr>
          <w:bCs/>
          <w:b/>
        </w:rPr>
        <w:t xml:space="preserve">ECRL Infrastructure Project:</w:t>
      </w:r>
      <w:r>
        <w:t xml:space="preserve"> </w:t>
      </w:r>
      <w:r>
        <w:t xml:space="preserve">Our geologists identified critical karst formations along the rail corridor, preventing potential structural failures during construction. This $2.1M contingency avoided RM 85M in projected repair costs for the government.</w:t>
      </w:r>
    </w:p>
    <w:p>
      <w:pPr>
        <w:numPr>
          <w:ilvl w:val="0"/>
          <w:numId w:val="1004"/>
        </w:numPr>
        <w:pStyle w:val="Compact"/>
      </w:pPr>
      <w:r>
        <w:rPr>
          <w:bCs/>
          <w:b/>
        </w:rPr>
        <w:t xml:space="preserve">Sustainable Mining Initiative:</w:t>
      </w:r>
      <w:r>
        <w:t xml:space="preserve"> </w:t>
      </w:r>
      <w:r>
        <w:t xml:space="preserve">Partnered with a leading Malaysian mining firm to implement geospatial monitoring systems, reducing environmental impact by 37% while increasing ore recovery rates. This project received the 2023 Malaysia Green Innovation Award.</w:t>
      </w:r>
    </w:p>
    <w:bookmarkEnd w:id="24"/>
    <w:bookmarkStart w:id="25" w:name="challenges-and-strategic-responses"/>
    <w:p>
      <w:pPr>
        <w:pStyle w:val="Heading2"/>
      </w:pPr>
      <w:r>
        <w:t xml:space="preserve">Challenges and Strategic Responses</w:t>
      </w:r>
    </w:p>
    <w:p>
      <w:pPr>
        <w:pStyle w:val="FirstParagraph"/>
      </w:pPr>
      <w:r>
        <w:t xml:space="preserve">Despite strong performance, our geologist team faced significant challenges in Malaysia Kuala Lumpur:</w:t>
      </w:r>
    </w:p>
    <w:p>
      <w:pPr>
        <w:numPr>
          <w:ilvl w:val="0"/>
          <w:numId w:val="1005"/>
        </w:numPr>
        <w:pStyle w:val="Compact"/>
      </w:pPr>
      <w:r>
        <w:rPr>
          <w:bCs/>
          <w:b/>
        </w:rPr>
        <w:t xml:space="preserve">Regulatory Complexity:</w:t>
      </w:r>
      <w:r>
        <w:t xml:space="preserve"> </w:t>
      </w:r>
      <w:r>
        <w:t xml:space="preserve">Navigating multiple federal/state-level permits required dedicated government liaison officers within our KL office. We resolved this by establishing a formal partnership with the Ministry of Natural Resources and Environmental Sustainability.</w:t>
      </w:r>
    </w:p>
    <w:p>
      <w:pPr>
        <w:numPr>
          <w:ilvl w:val="0"/>
          <w:numId w:val="1005"/>
        </w:numPr>
        <w:pStyle w:val="Compact"/>
      </w:pPr>
      <w:r>
        <w:rPr>
          <w:bCs/>
          <w:b/>
        </w:rPr>
        <w:t xml:space="preserve">Talent Acquisition:</w:t>
      </w:r>
      <w:r>
        <w:t xml:space="preserve"> </w:t>
      </w:r>
      <w:r>
        <w:t xml:space="preserve">Intense competition for geologists in KL led to 20% salary inflation. Our solution: Created an "KL Geologist Scholarship" with Universiti Malaya, securing 3 new graduates for our team.</w:t>
      </w:r>
    </w:p>
    <w:p>
      <w:pPr>
        <w:numPr>
          <w:ilvl w:val="0"/>
          <w:numId w:val="1005"/>
        </w:numPr>
        <w:pStyle w:val="Compact"/>
      </w:pPr>
      <w:r>
        <w:rPr>
          <w:bCs/>
          <w:b/>
        </w:rPr>
        <w:t xml:space="preserve">Monsoon Season Disruptions:</w:t>
      </w:r>
      <w:r>
        <w:t xml:space="preserve"> </w:t>
      </w:r>
      <w:r>
        <w:t xml:space="preserve">Extended rainy seasons delayed fieldwork by 15 days. We countered this by investing in drone-based remote sensing technology, maintaining project timelines despite weather challenges.</w:t>
      </w:r>
    </w:p>
    <w:bookmarkEnd w:id="25"/>
    <w:bookmarkStart w:id="26" w:name="X8e121b2e53d96e27f2185e1aa906e7b5433599b"/>
    <w:p>
      <w:pPr>
        <w:pStyle w:val="Heading2"/>
      </w:pPr>
      <w:r>
        <w:t xml:space="preserve">Future Outlook: Strategic Growth in Malaysia Kuala Lumpur</w:t>
      </w:r>
    </w:p>
    <w:p>
      <w:pPr>
        <w:pStyle w:val="FirstParagraph"/>
      </w:pPr>
      <w:r>
        <w:t xml:space="preserve">Based on current momentum, we forecast a 40% sales increase for 2024. Our growth strategy centers on three pillars for Malaysia Kuala Lumpur:</w:t>
      </w:r>
    </w:p>
    <w:p>
      <w:pPr>
        <w:numPr>
          <w:ilvl w:val="0"/>
          <w:numId w:val="1006"/>
        </w:numPr>
        <w:pStyle w:val="Compact"/>
      </w:pPr>
      <w:r>
        <w:rPr>
          <w:bCs/>
          <w:b/>
        </w:rPr>
        <w:t xml:space="preserve">Geological Data Platform Expansion:</w:t>
      </w:r>
      <w:r>
        <w:t xml:space="preserve"> </w:t>
      </w:r>
      <w:r>
        <w:t xml:space="preserve">Launching "KL GeoInsights" – a cloud-based analytics platform offering real-time geological data to all government agencies and private developers in Malaysia's capital region by Q2 2024.</w:t>
      </w:r>
    </w:p>
    <w:p>
      <w:pPr>
        <w:numPr>
          <w:ilvl w:val="0"/>
          <w:numId w:val="1006"/>
        </w:numPr>
        <w:pStyle w:val="Compact"/>
      </w:pPr>
      <w:r>
        <w:rPr>
          <w:bCs/>
          <w:b/>
        </w:rPr>
        <w:t xml:space="preserve">Sustainability Integration:</w:t>
      </w:r>
      <w:r>
        <w:t xml:space="preserve"> </w:t>
      </w:r>
      <w:r>
        <w:t xml:space="preserve">Developing carbon-neutral exploration protocols in response to Malaysia's 2050 net-zero target, positioning our geologist team as climate action leaders.</w:t>
      </w:r>
    </w:p>
    <w:p>
      <w:pPr>
        <w:numPr>
          <w:ilvl w:val="0"/>
          <w:numId w:val="1006"/>
        </w:numPr>
        <w:pStyle w:val="Compact"/>
      </w:pPr>
      <w:r>
        <w:rPr>
          <w:bCs/>
          <w:b/>
        </w:rPr>
        <w:t xml:space="preserve">Regional Hub Development:</w:t>
      </w:r>
      <w:r>
        <w:t xml:space="preserve"> </w:t>
      </w:r>
      <w:r>
        <w:t xml:space="preserve">Establishing a dedicated training center at our KL headquarters to certify 100 new local geologists annually, strengthening talent pipelines for Malaysia's geological sector.</w:t>
      </w:r>
    </w:p>
    <w:bookmarkEnd w:id="26"/>
    <w:bookmarkStart w:id="27" w:name="conclusion"/>
    <w:p>
      <w:pPr>
        <w:pStyle w:val="Heading2"/>
      </w:pPr>
      <w:r>
        <w:t xml:space="preserve">Conclusion</w:t>
      </w:r>
    </w:p>
    <w:p>
      <w:pPr>
        <w:pStyle w:val="FirstParagraph"/>
      </w:pPr>
      <w:r>
        <w:t xml:space="preserve">The success of our geological services in Malaysia Kuala Lumpur proves that specialized expertise combined with deep local market understanding drives exceptional sales outcomes. Our commitment to deploying highly skilled geologist professionals who understand the nuances of Malaysia's terrain and regulations has positioned us as an indispensable partner for national development. As the government prioritizes infrastructure modernization under Vision 2030, our KL-based team is uniquely prepared to deliver transformative geological solutions that align with Malaysia's strategic objectives. We recommend doubling down on our Kuala Lumpur operations through enhanced partnerships with Malaysian institutions and accelerated technology adoption – ensuring sustained growth as the nation's premier geologist service provider.</w:t>
      </w:r>
    </w:p>
    <w:p>
      <w:pPr>
        <w:pStyle w:val="BodyText"/>
      </w:pPr>
      <w:r>
        <w:rPr>
          <w:bCs/>
          <w:b/>
        </w:rPr>
        <w:t xml:space="preserve">Appendix: Key Metrics (Q3 2023)</w:t>
      </w:r>
    </w:p>
    <w:p>
      <w:pPr>
        <w:pStyle w:val="BodyText"/>
      </w:pPr>
      <w:r>
        <w:t xml:space="preserve">Indicator</w:t>
      </w:r>
    </w:p>
    <w:p>
      <w:pPr>
        <w:pStyle w:val="BodyText"/>
      </w:pPr>
      <w:r>
        <w:t xml:space="preserve">Q3 2023</w:t>
      </w:r>
    </w:p>
    <w:p>
      <w:pPr>
        <w:pStyle w:val="BodyText"/>
      </w:pPr>
      <w:r>
        <w:t xml:space="preserve">Change vs Q2</w:t>
      </w:r>
    </w:p>
    <w:p>
      <w:pPr>
        <w:pStyle w:val="BodyText"/>
      </w:pPr>
      <w:r>
        <w:t xml:space="preserve">Target</w:t>
      </w:r>
    </w:p>
    <w:p>
      <w:pPr>
        <w:pStyle w:val="BodyText"/>
      </w:pPr>
      <w:r>
        <w:t xml:space="preserve">Total Revenue (RM)</w:t>
      </w:r>
    </w:p>
    <w:p>
      <w:pPr>
        <w:pStyle w:val="BodyText"/>
      </w:pPr>
      <w:r>
        <w:t xml:space="preserve">8,700,000</w:t>
      </w:r>
    </w:p>
    <w:p>
      <w:pPr>
        <w:pStyle w:val="BodyText"/>
      </w:pPr>
      <w:r>
        <w:t xml:space="preserve">+19%</w:t>
      </w:r>
    </w:p>
    <w:p>
      <w:pPr>
        <w:pStyle w:val="BodyText"/>
      </w:pPr>
      <w:r>
        <w:t xml:space="preserve">-</w:t>
      </w:r>
    </w:p>
    <w:p>
      <w:pPr>
        <w:pStyle w:val="BodyText"/>
      </w:pPr>
      <w:r>
        <w:t xml:space="preserve">New Client Acquisition Rate</w:t>
      </w:r>
    </w:p>
    <w:p>
      <w:pPr>
        <w:pStyle w:val="BodyText"/>
      </w:pPr>
      <w:r>
        <w:t xml:space="preserve">32%+8% YoY25%</w:t>
      </w:r>
    </w:p>
    <w:p>
      <w:pPr>
        <w:pStyle w:val="BodyText"/>
      </w:pPr>
      <w:r>
        <w:t xml:space="preserve">Geologist Team Productivity (Projects/Person)</w:t>
      </w:r>
    </w:p>
    <w:p>
      <w:pPr>
        <w:pStyle w:val="BodyText"/>
      </w:pPr>
      <w:r>
        <w:t xml:space="preserve">4.7</w:t>
      </w:r>
    </w:p>
    <w:p>
      <w:pPr>
        <w:pStyle w:val="BodyText"/>
      </w:pPr>
      <w:r>
        <w:t xml:space="preserve">+12% YoY</w:t>
      </w:r>
    </w:p>
    <w:p>
      <w:pPr>
        <w:pStyle w:val="BodyText"/>
      </w:pPr>
      <w:r>
        <w:t xml:space="preserve">-</w:t>
      </w:r>
    </w:p>
    <w:p>
      <w:pPr>
        <w:pStyle w:val="BodyText"/>
      </w:pPr>
      <w:r>
        <w:t xml:space="preserve">Customer Satisfaction (CSAT)</w:t>
      </w:r>
    </w:p>
    <w:p>
      <w:pPr>
        <w:pStyle w:val="BodyText"/>
      </w:pPr>
      <w:r>
        <w:t xml:space="preserve">96%+5 pts YoY90%</w:t>
      </w:r>
    </w:p>
    <w:p>
      <w:pPr>
        <w:pStyle w:val="BodyText"/>
      </w:pPr>
      <w:r>
        <w:t xml:space="preserve">This Sales Report confirms that our Malaysia Kuala Lumpur operations, driven by expert geologist professionals, have become the cornerstone of our Southeast Asian growth strategy. The continued success in this critical market validates our investment in local talent and technical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Malaysia Kuala Lumpur</dc:title>
  <dc:creator/>
  <dc:language>en</dc:language>
  <cp:keywords/>
  <dcterms:created xsi:type="dcterms:W3CDTF">2026-07-23T16:51:23Z</dcterms:created>
  <dcterms:modified xsi:type="dcterms:W3CDTF">2026-07-23T16:51:23Z</dcterms:modified>
</cp:coreProperties>
</file>

<file path=docProps/custom.xml><?xml version="1.0" encoding="utf-8"?>
<Properties xmlns="http://schemas.openxmlformats.org/officeDocument/2006/custom-properties" xmlns:vt="http://schemas.openxmlformats.org/officeDocument/2006/docPropsVTypes"/>
</file>