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Geologist</w:t>
      </w:r>
      <w:r>
        <w:t xml:space="preserve"> </w:t>
      </w:r>
      <w:r>
        <w:t xml:space="preserve">Services</w:t>
      </w:r>
      <w:r>
        <w:t xml:space="preserve"> </w:t>
      </w:r>
      <w:r>
        <w:t xml:space="preserve">in</w:t>
      </w:r>
      <w:r>
        <w:t xml:space="preserve"> </w:t>
      </w:r>
      <w:r>
        <w:t xml:space="preserve">Turkey</w:t>
      </w:r>
      <w:r>
        <w:t xml:space="preserve"> </w:t>
      </w:r>
      <w:r>
        <w:t xml:space="preserve">Istanbul</w:t>
      </w:r>
    </w:p>
    <w:bookmarkStart w:id="27" w:name="Xebead274cc3fc53bceb0f507408e0a40ed3d185"/>
    <w:p>
      <w:pPr>
        <w:pStyle w:val="Heading1"/>
      </w:pPr>
      <w:r>
        <w:t xml:space="preserve">SALES REPORT: GEOLOGIST SERVICES PERFORMANCE IN TURKEY ISTANBUL</w:t>
      </w:r>
    </w:p>
    <w:p>
      <w:pPr>
        <w:pStyle w:val="FirstParagraph"/>
      </w:pPr>
      <w:r>
        <w:t xml:space="preserve">Quarterly Performance Analysis &amp; Strategic Outlook | Q3 2023</w:t>
      </w:r>
    </w:p>
    <w:bookmarkStart w:id="20" w:name="executive-summary"/>
    <w:p>
      <w:pPr>
        <w:pStyle w:val="Heading2"/>
      </w:pPr>
      <w:r>
        <w:t xml:space="preserve">Executive Summary</w:t>
      </w:r>
    </w:p>
    <w:p>
      <w:pPr>
        <w:pStyle w:val="FirstParagraph"/>
      </w:pPr>
      <w:r>
        <w:t xml:space="preserve">This comprehensive Sales Report details the operational and commercial performance of our geological services team across Turkey Istanbul. The region has emerged as a critical growth market for advanced subsurface analysis, infrastructure development, and resource evaluation services. Our dedicated geologist professionals have secured significant contracts this quarter, demonstrating exceptional market penetration in one of Europe's most dynamic urban centers. This report validates the strategic importance of deploying specialized geologist expertise within Turkey Istanbul to capture emerging opportunities in construction, energy transition projects, and environmental compliance.</w:t>
      </w:r>
    </w:p>
    <w:bookmarkEnd w:id="20"/>
    <w:bookmarkStart w:id="21" w:name="X9b2c4d619e05c8a75d54d48769d8bdc595c8e32"/>
    <w:p>
      <w:pPr>
        <w:pStyle w:val="Heading2"/>
      </w:pPr>
      <w:r>
        <w:t xml:space="preserve">Market Analysis: Turkey Istanbul Geology Landscape</w:t>
      </w:r>
    </w:p>
    <w:p>
      <w:pPr>
        <w:pStyle w:val="FirstParagraph"/>
      </w:pPr>
      <w:r>
        <w:t xml:space="preserve">Istanbul's unique geological position at the intersection of Eurasia presents both complex challenges and unprecedented opportunities for geologist services. The city's foundation on ancient alluvial plains, active seismic zones, and rapidly expanding infrastructure projects require specialized subsurface understanding. Our Sales Report indicates that 68% of new contracts in Turkey Istanbul this quarter originated from construction firms requiring detailed soil mechanics analysis for high-rise developments (including the ongoing Yavuz Sultan Selim Bridge expansions). Additionally, municipal environmental compliance mandates have driven a 42% year-over-year increase in groundwater contamination assessment requests across Istanbul.</w:t>
      </w:r>
    </w:p>
    <w:p>
      <w:pPr>
        <w:pStyle w:val="BodyText"/>
      </w:pPr>
      <w:r>
        <w:t xml:space="preserve">Competitive positioning remains strong due to our geologist team's exclusive certifications in Eurocode 7 standards and local seismic hazard mapping. The Turkish Geological Survey (MTA) partnership has further validated our technical credibility within Turkey Istanbul's regulatory framework. This strategic advantage directly contributed to securing three major contracts with Istanbul Metropolitan Municipality this quarter, including a €1.2M project for urban landslide risk mitigation in the historic Beyoğlu district.</w:t>
      </w:r>
    </w:p>
    <w:bookmarkEnd w:id="21"/>
    <w:bookmarkStart w:id="22" w:name="sales-performance-metrics"/>
    <w:p>
      <w:pPr>
        <w:pStyle w:val="Heading2"/>
      </w:pPr>
      <w:r>
        <w:t xml:space="preserve">Sales Performance Metrics</w:t>
      </w:r>
    </w:p>
    <w:p>
      <w:pPr>
        <w:pStyle w:val="FirstParagraph"/>
      </w:pPr>
      <w:r>
        <w:t xml:space="preserve">Key Metric</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Total Revenue (€)</w:t>
      </w:r>
    </w:p>
    <w:p>
      <w:pPr>
        <w:pStyle w:val="BodyText"/>
      </w:pPr>
      <w:r>
        <w:t xml:space="preserve">1,850,000</w:t>
      </w:r>
    </w:p>
    <w:p>
      <w:pPr>
        <w:pStyle w:val="BodyText"/>
      </w:pPr>
      <w:r>
        <w:t xml:space="preserve">1,425,000</w:t>
      </w:r>
    </w:p>
    <w:p>
      <w:pPr>
        <w:pStyle w:val="BodyText"/>
      </w:pPr>
      <w:r>
        <w:t xml:space="preserve">+30%</w:t>
      </w:r>
    </w:p>
    <w:p>
      <w:pPr>
        <w:pStyle w:val="BodyText"/>
      </w:pPr>
      <w:r>
        <w:t xml:space="preserve">New Contracts Secured (Turkey Istanbul)</w:t>
      </w:r>
    </w:p>
    <w:p>
      <w:pPr>
        <w:pStyle w:val="BodyText"/>
      </w:pPr>
      <w:r>
        <w:t xml:space="preserve">14</w:t>
      </w:r>
    </w:p>
    <w:p>
      <w:pPr>
        <w:pStyle w:val="BodyText"/>
      </w:pPr>
      <w:r>
        <w:t xml:space="preserve">9</w:t>
      </w:r>
    </w:p>
    <w:p>
      <w:pPr>
        <w:pStyle w:val="BodyText"/>
      </w:pPr>
      <w:r>
        <w:t xml:space="preserve">+56%</w:t>
      </w:r>
    </w:p>
    <w:p>
      <w:pPr>
        <w:pStyle w:val="BodyText"/>
      </w:pPr>
      <w:r>
        <w:t xml:space="preserve">Geologist Utilization Rate</w:t>
      </w:r>
    </w:p>
    <w:p>
      <w:pPr>
        <w:pStyle w:val="BodyText"/>
      </w:pPr>
      <w:r>
        <w:t xml:space="preserve">88%</w:t>
      </w:r>
    </w:p>
    <w:p>
      <w:pPr>
        <w:pStyle w:val="BodyText"/>
      </w:pPr>
      <w:r>
        <w:t xml:space="preserve">76%</w:t>
      </w:r>
    </w:p>
    <w:p>
      <w:pPr>
        <w:pStyle w:val="BodyText"/>
      </w:pPr>
      <w:r>
        <w:t xml:space="preserve">+12pp</w:t>
      </w:r>
    </w:p>
    <w:p>
      <w:pPr>
        <w:pStyle w:val="BodyText"/>
      </w:pPr>
      <w:r>
        <w:t xml:space="preserve">Client Retention Rate (Existing Istanbul Clients)</w:t>
      </w:r>
    </w:p>
    <w:p>
      <w:pPr>
        <w:pStyle w:val="BodyText"/>
      </w:pPr>
      <w:r>
        <w:t xml:space="preserve">94%</w:t>
      </w:r>
    </w:p>
    <w:p>
      <w:pPr>
        <w:pStyle w:val="BodyText"/>
      </w:pPr>
      <w:r>
        <w:t xml:space="preserve">87%</w:t>
      </w:r>
    </w:p>
    <w:p>
      <w:pPr>
        <w:pStyle w:val="BodyText"/>
      </w:pPr>
      <w:r>
        <w:t xml:space="preserve">+7pp</w:t>
      </w:r>
    </w:p>
    <w:p>
      <w:pPr>
        <w:pStyle w:val="BodyText"/>
      </w:pPr>
      <w:r>
        <w:t xml:space="preserve">The Sales Report highlights a 30% revenue surge in Turkey Istanbul, directly attributable to our geologist team's technical precision in delivering complex geological models for the new Marmaray tunnel expansions. Notably, all five major infrastructure projects secured this quarter included mandatory geotechnical surveys as stipulated by Istanbul's revised building codes—demonstrating how regulatory shifts have amplified demand for specialized geologist services.</w:t>
      </w:r>
    </w:p>
    <w:bookmarkEnd w:id="22"/>
    <w:bookmarkStart w:id="23" w:name="strategic-initiatives-driving-growth"/>
    <w:p>
      <w:pPr>
        <w:pStyle w:val="Heading2"/>
      </w:pPr>
      <w:r>
        <w:t xml:space="preserve">Strategic Initiatives Driving Growth</w:t>
      </w:r>
    </w:p>
    <w:p>
      <w:pPr>
        <w:pStyle w:val="FirstParagraph"/>
      </w:pPr>
      <w:r>
        <w:t xml:space="preserve">Our success in Turkey Istanbul stems from three core initiatives aligned with local geological realities:</w:t>
      </w:r>
    </w:p>
    <w:p>
      <w:pPr>
        <w:numPr>
          <w:ilvl w:val="0"/>
          <w:numId w:val="1001"/>
        </w:numPr>
        <w:pStyle w:val="Compact"/>
      </w:pPr>
      <w:r>
        <w:rPr>
          <w:bCs/>
          <w:b/>
        </w:rPr>
        <w:t xml:space="preserve">Localized Geologist Training Program:</w:t>
      </w:r>
      <w:r>
        <w:t xml:space="preserve"> </w:t>
      </w:r>
      <w:r>
        <w:t xml:space="preserve">We've established a dedicated Istanbul-based training academy where our geologist staff receive continuous education on Marmara Sea seismic patterns and Istanbul's unique soil stratigraphy. This has reduced report revision cycles by 35% for municipal clients.</w:t>
      </w:r>
    </w:p>
    <w:p>
      <w:pPr>
        <w:numPr>
          <w:ilvl w:val="0"/>
          <w:numId w:val="1001"/>
        </w:numPr>
        <w:pStyle w:val="Compact"/>
      </w:pPr>
      <w:r>
        <w:rPr>
          <w:bCs/>
          <w:b/>
        </w:rPr>
        <w:t xml:space="preserve">AI-Powered Geological Mapping:</w:t>
      </w:r>
      <w:r>
        <w:t xml:space="preserve"> </w:t>
      </w:r>
      <w:r>
        <w:t xml:space="preserve">Partnering with Turkish universities, we deployed AI-driven subsurface imaging tools specifically calibrated for Istanbul's alluvial deposits. This technology accelerated site assessments by 50% during the Bosphorus Bridge retrofit project, directly contributing to a 22% higher win rate for complex bids.</w:t>
      </w:r>
    </w:p>
    <w:p>
      <w:pPr>
        <w:numPr>
          <w:ilvl w:val="0"/>
          <w:numId w:val="1001"/>
        </w:numPr>
        <w:pStyle w:val="Compact"/>
      </w:pPr>
      <w:r>
        <w:rPr>
          <w:bCs/>
          <w:b/>
        </w:rPr>
        <w:t xml:space="preserve">Compliance Integration:</w:t>
      </w:r>
      <w:r>
        <w:t xml:space="preserve"> </w:t>
      </w:r>
      <w:r>
        <w:t xml:space="preserve">Our geologist team now embeds MTA (Turkish Geological Survey) requirements into every deliverable. This proactive approach has eliminated compliance-related delays for 98% of Istanbul-based projects, a critical differentiator in the region's competitive market.</w:t>
      </w:r>
    </w:p>
    <w:bookmarkEnd w:id="23"/>
    <w:bookmarkStart w:id="24" w:name="key-challenges-mitigation-strategies"/>
    <w:p>
      <w:pPr>
        <w:pStyle w:val="Heading2"/>
      </w:pPr>
      <w:r>
        <w:t xml:space="preserve">Key Challenges &amp; Mitigation Strategies</w:t>
      </w:r>
    </w:p>
    <w:p>
      <w:pPr>
        <w:pStyle w:val="FirstParagraph"/>
      </w:pPr>
      <w:r>
        <w:t xml:space="preserve">While performance is strong, two challenges require urgent attention per our Sales Report analysis:</w:t>
      </w:r>
    </w:p>
    <w:p>
      <w:pPr>
        <w:numPr>
          <w:ilvl w:val="0"/>
          <w:numId w:val="1002"/>
        </w:numPr>
        <w:pStyle w:val="Compact"/>
      </w:pPr>
      <w:r>
        <w:rPr>
          <w:bCs/>
          <w:b/>
        </w:rPr>
        <w:t xml:space="preserve">Seasonal Demand Volatility:</w:t>
      </w:r>
      <w:r>
        <w:t xml:space="preserve"> </w:t>
      </w:r>
      <w:r>
        <w:t xml:space="preserve">Istanbul construction slows during winter months (November-March). Our geologist team addresses this through proactive client engagement for summer 2024 planning, resulting in a 73% advance booking rate for the upcoming quarter.</w:t>
      </w:r>
    </w:p>
    <w:p>
      <w:pPr>
        <w:numPr>
          <w:ilvl w:val="0"/>
          <w:numId w:val="1002"/>
        </w:numPr>
        <w:pStyle w:val="Compact"/>
      </w:pPr>
      <w:r>
        <w:rPr>
          <w:bCs/>
          <w:b/>
        </w:rPr>
        <w:t xml:space="preserve">Regulatory Complexity:</w:t>
      </w:r>
      <w:r>
        <w:t xml:space="preserve"> </w:t>
      </w:r>
      <w:r>
        <w:t xml:space="preserve">New Istanbul municipality environmental laws require geologist reports to include climate adaptation metrics. We've integrated these into our standard deliverables via specialized training, reducing client rework by 60%.</w:t>
      </w:r>
    </w:p>
    <w:bookmarkEnd w:id="24"/>
    <w:bookmarkStart w:id="25" w:name="future-outlook-strategic-recommendations"/>
    <w:p>
      <w:pPr>
        <w:pStyle w:val="Heading2"/>
      </w:pPr>
      <w:r>
        <w:t xml:space="preserve">Future Outlook &amp; Strategic Recommendations</w:t>
      </w:r>
    </w:p>
    <w:p>
      <w:pPr>
        <w:pStyle w:val="FirstParagraph"/>
      </w:pPr>
      <w:r>
        <w:t xml:space="preserve">Based on our robust Sales Report data, Turkey Istanbul represents the highest-potential market for geological services in our European portfolio. We project 35% growth in Q4 2023 driven by:</w:t>
      </w:r>
    </w:p>
    <w:p>
      <w:pPr>
        <w:numPr>
          <w:ilvl w:val="0"/>
          <w:numId w:val="1003"/>
        </w:numPr>
        <w:pStyle w:val="Compact"/>
      </w:pPr>
      <w:r>
        <w:t xml:space="preserve">The new Istanbul Green Infrastructure Initiative requiring subsurface analysis for all new public transport projects</w:t>
      </w:r>
    </w:p>
    <w:p>
      <w:pPr>
        <w:numPr>
          <w:ilvl w:val="0"/>
          <w:numId w:val="1003"/>
        </w:numPr>
        <w:pStyle w:val="Compact"/>
      </w:pPr>
      <w:r>
        <w:t xml:space="preserve">Upcoming geothermal exploration contracts along the North Anatolian Fault zone near Istanbul</w:t>
      </w:r>
    </w:p>
    <w:p>
      <w:pPr>
        <w:numPr>
          <w:ilvl w:val="0"/>
          <w:numId w:val="1003"/>
        </w:numPr>
        <w:pStyle w:val="Compact"/>
      </w:pPr>
      <w:r>
        <w:t xml:space="preserve">Expansion of our geologist team in Turkey Istanbul to 12 specialists by Q1 2024 (currently at 8)</w:t>
      </w:r>
    </w:p>
    <w:p>
      <w:pPr>
        <w:pStyle w:val="FirstParagraph"/>
      </w:pPr>
      <w:r>
        <w:rPr>
          <w:bCs/>
          <w:b/>
        </w:rPr>
        <w:t xml:space="preserve">Recommendation:</w:t>
      </w:r>
      <w:r>
        <w:t xml:space="preserve"> </w:t>
      </w:r>
      <w:r>
        <w:t xml:space="preserve">Allocate €500,000 for additional geologist training focused on Istanbul's specific fault line analysis. This investment will directly support the city's upcoming earthquake resilience projects and position us to capture 45% market share in seismic risk assessment within Turkey Istanbul by end-2024.</w:t>
      </w:r>
    </w:p>
    <w:bookmarkEnd w:id="25"/>
    <w:bookmarkStart w:id="26" w:name="conclusion"/>
    <w:p>
      <w:pPr>
        <w:pStyle w:val="Heading2"/>
      </w:pPr>
      <w:r>
        <w:t xml:space="preserve">Conclusion</w:t>
      </w:r>
    </w:p>
    <w:p>
      <w:pPr>
        <w:pStyle w:val="FirstParagraph"/>
      </w:pPr>
      <w:r>
        <w:t xml:space="preserve">This Sales Report unequivocally demonstrates that deploying specialized geologist expertise within Turkey Istanbul is not merely beneficial—it's strategically essential for market leadership. Our team's technical excellence in navigating Istanbul's complex geological terrain has translated directly to revenue growth, client trust, and first-mover advantage in high-value contracts. As the city continues its ambitious infrastructure transformation, the demand for precision geologist services will only intensify.</w:t>
      </w:r>
    </w:p>
    <w:p>
      <w:pPr>
        <w:pStyle w:val="BodyText"/>
      </w:pPr>
      <w:r>
        <w:t xml:space="preserve">The data confirms that our strategic focus on Turkey Istanbul has delivered exceptional returns: 30% quarterly revenue growth while maintaining a 94% client retention rate. Moving forward, we must double down on localizing geologist capabilities to match Istanbul's evolving needs—from seismic retrofitting to climate-resilient urban planning. Our Sales Report concludes that sustaining this momentum requires continuous investment in geologist talent development and technology tailored specifically for Turkey Istanbul's unique geological challenges.</w:t>
      </w:r>
    </w:p>
    <w:p>
      <w:pPr>
        <w:pStyle w:val="BodyText"/>
      </w:pPr>
      <w:r>
        <w:rPr>
          <w:bCs/>
          <w:b/>
        </w:rPr>
        <w:t xml:space="preserve">Final Note:</w:t>
      </w:r>
      <w:r>
        <w:t xml:space="preserve"> </w:t>
      </w:r>
      <w:r>
        <w:t xml:space="preserve">In the competitive landscape of geological services, our success in Turkey Istanbul proves that when specialized geologist knowledge meets localized market understanding, it becomes the cornerstone of sustainable business growth. This Sales Report serves as both a performance record and a roadmap for dominating this critical region through geological excellence.</w:t>
      </w:r>
    </w:p>
    <w:p>
      <w:pPr>
        <w:pStyle w:val="BodyText"/>
      </w:pPr>
      <w:r>
        <w:rPr>
          <w:iCs/>
          <w:i/>
        </w:rPr>
        <w:t xml:space="preserve">Prepared by: Global Geotechnical Solutions | Istanbul Operations</w:t>
      </w:r>
      <w:r>
        <w:br/>
      </w:r>
      <w:r>
        <w:rPr>
          <w:iCs/>
          <w:i/>
        </w:rPr>
        <w:t xml:space="preserve">Date: October 26, 2023 | Confidential - Sales Report Distribution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Geologist Services in Turkey Istanbul</dc:title>
  <dc:creator/>
  <cp:keywords/>
  <dcterms:created xsi:type="dcterms:W3CDTF">2025-12-12T10:55:59Z</dcterms:created>
  <dcterms:modified xsi:type="dcterms:W3CDTF">2025-12-12T10:55:59Z</dcterms:modified>
</cp:coreProperties>
</file>

<file path=docProps/custom.xml><?xml version="1.0" encoding="utf-8"?>
<Properties xmlns="http://schemas.openxmlformats.org/officeDocument/2006/custom-properties" xmlns:vt="http://schemas.openxmlformats.org/officeDocument/2006/docPropsVTypes"/>
</file>