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Miami</w:t>
      </w:r>
      <w:r>
        <w:t xml:space="preserve"> </w:t>
      </w:r>
      <w:r>
        <w:t xml:space="preserve">Market</w:t>
      </w:r>
      <w:r>
        <w:t xml:space="preserve"> </w:t>
      </w:r>
      <w:r>
        <w:t xml:space="preserve">Performance</w:t>
      </w:r>
    </w:p>
    <w:bookmarkStart w:id="27" w:name="X7c48e85ae176acf38671746fa6c4eba7cb6b647"/>
    <w:p>
      <w:pPr>
        <w:pStyle w:val="Heading1"/>
      </w:pPr>
      <w:r>
        <w:t xml:space="preserve">Q3 2023 Geological Services Sales Report: United States Miami Market Analysis</w:t>
      </w:r>
    </w:p>
    <w:bookmarkStart w:id="20" w:name="executive-summary"/>
    <w:p>
      <w:pPr>
        <w:pStyle w:val="Heading2"/>
      </w:pPr>
      <w:r>
        <w:t xml:space="preserve">Executive Summary</w:t>
      </w:r>
    </w:p>
    <w:p>
      <w:pPr>
        <w:pStyle w:val="FirstParagraph"/>
      </w:pPr>
      <w:r>
        <w:t xml:space="preserve">This comprehensive sales report details the performance of geological services across the United States Miami market during Q3 2023. As a premier provider of specialized geoscience solutions, our firm has experienced significant growth driven by Miami's unique geological challenges and regulatory landscape. The quarter concluded with a 18.7% year-over-year increase in revenue, totaling $1,425,000 across 47 active contracts. This success underscores the critical role of geologists in navigating Miami's complex subsurface environment while meeting stringent environmental compliance requirements mandated by local and federal authorities.</w:t>
      </w:r>
    </w:p>
    <w:bookmarkEnd w:id="20"/>
    <w:bookmarkStart w:id="21" w:name="Xcbed32bd9b095f70280c1a99b747ad0b356d3e6"/>
    <w:p>
      <w:pPr>
        <w:pStyle w:val="Heading2"/>
      </w:pPr>
      <w:r>
        <w:t xml:space="preserve">Market Context: Why Miami Demands Geological Expertise</w:t>
      </w:r>
    </w:p>
    <w:p>
      <w:pPr>
        <w:pStyle w:val="FirstParagraph"/>
      </w:pPr>
      <w:r>
        <w:t xml:space="preserve">Miami presents a uniquely challenging geological landscape that directly impacts sales performance for geoscience services. The city sits atop porous limestone bedrock with high water tables, creating inherent vulnerabilities to sinkholes, coastal erosion, and saltwater intrusion. These factors make the role of a geologist indispensable for development projects across the United States Miami region. In Q3 alone, 23% of all new construction permits required mandatory geological assessments under Miami-Dade County's updated Subsurface Investigation Ordinance (2021). Our sales team capitalized on this regulatory shift, positioning geologists as essential partners in mitigating project risks and ensuring compliance.</w:t>
      </w:r>
    </w:p>
    <w:bookmarkEnd w:id="21"/>
    <w:bookmarkStart w:id="22" w:name="key-sales-performance-metrics"/>
    <w:p>
      <w:pPr>
        <w:pStyle w:val="Heading2"/>
      </w:pPr>
      <w:r>
        <w:t xml:space="preserve">Key Sales Performance Metrics</w:t>
      </w:r>
    </w:p>
    <w:p>
      <w:pPr>
        <w:pStyle w:val="FirstParagraph"/>
      </w:pPr>
      <w:r>
        <w:t xml:space="preserve">Sales Category</w:t>
      </w:r>
    </w:p>
    <w:p>
      <w:pPr>
        <w:pStyle w:val="BodyText"/>
      </w:pPr>
      <w:r>
        <w:t xml:space="preserve">Q3 2023 Revenue</w:t>
      </w:r>
    </w:p>
    <w:p>
      <w:pPr>
        <w:pStyle w:val="BodyText"/>
      </w:pPr>
      <w:r>
        <w:t xml:space="preserve">YoY Change</w:t>
      </w:r>
    </w:p>
    <w:p>
      <w:pPr>
        <w:pStyle w:val="BodyText"/>
      </w:pPr>
      <w:r>
        <w:t xml:space="preserve">Key Geologist-Driven Projects</w:t>
      </w:r>
    </w:p>
    <w:p>
      <w:pPr>
        <w:pStyle w:val="BodyText"/>
      </w:pPr>
      <w:r>
        <w:t xml:space="preserve">Subsurface Investigations (Residential/Commercial)</w:t>
      </w:r>
    </w:p>
    <w:p>
      <w:pPr>
        <w:pStyle w:val="BodyText"/>
      </w:pPr>
      <w:r>
        <w:t xml:space="preserve">$682,000</w:t>
      </w:r>
    </w:p>
    <w:p>
      <w:pPr>
        <w:pStyle w:val="BodyText"/>
      </w:pPr>
      <w:r>
        <w:t xml:space="preserve">+22.4%</w:t>
      </w:r>
    </w:p>
    <w:p>
      <w:pPr>
        <w:pStyle w:val="BodyText"/>
      </w:pPr>
      <w:r>
        <w:t xml:space="preserve">Bayfront Luxury Condo Complex, Brickell Financial District Expansion</w:t>
      </w:r>
    </w:p>
    <w:p>
      <w:pPr>
        <w:pStyle w:val="BodyText"/>
      </w:pPr>
      <w:r>
        <w:t xml:space="preserve">Environmental Compliance Assessments</w:t>
      </w:r>
    </w:p>
    <w:p>
      <w:pPr>
        <w:pStyle w:val="BodyText"/>
      </w:pPr>
      <w:r>
        <w:t xml:space="preserve">$398,500</w:t>
      </w:r>
    </w:p>
    <w:p>
      <w:pPr>
        <w:pStyle w:val="BodyText"/>
      </w:pPr>
      <w:r>
        <w:br/>
      </w:r>
    </w:p>
    <w:p>
      <w:pPr>
        <w:pStyle w:val="BodyText"/>
      </w:pPr>
      <w:r>
        <w:t xml:space="preserve">Coastal Erosion Risk Mitigation Planning</w:t>
      </w:r>
    </w:p>
    <w:p>
      <w:pPr>
        <w:pStyle w:val="BodyText"/>
      </w:pPr>
      <w:r>
        <w:t xml:space="preserve">$242,300</w:t>
      </w:r>
    </w:p>
    <w:p>
      <w:pPr>
        <w:pStyle w:val="BodyText"/>
      </w:pPr>
      <w:r>
        <w:t xml:space="preserve">+14.6%</w:t>
      </w:r>
    </w:p>
    <w:p>
      <w:pPr>
        <w:pStyle w:val="BodyText"/>
      </w:pPr>
      <w:r>
        <w:t xml:space="preserve">South Beach Seawall Renovation Project, Coral Gables Coastal Resilience Study</w:t>
      </w:r>
    </w:p>
    <w:p>
      <w:pPr>
        <w:pStyle w:val="BodyText"/>
      </w:pPr>
      <w:r>
        <w:t xml:space="preserve">Total Revenue</w:t>
      </w:r>
    </w:p>
    <w:p>
      <w:pPr>
        <w:pStyle w:val="BodyText"/>
      </w:pPr>
      <w:r>
        <w:t xml:space="preserve">$1,425,000</w:t>
      </w:r>
    </w:p>
    <w:p>
      <w:pPr>
        <w:pStyle w:val="BodyText"/>
      </w:pPr>
      <w:r>
        <w:rPr>
          <w:bCs/>
          <w:b/>
        </w:rPr>
        <w:t xml:space="preserve">+18.7%</w:t>
      </w:r>
    </w:p>
    <w:bookmarkEnd w:id="22"/>
    <w:bookmarkStart w:id="23" w:name="geologist-driven-sales-success-factors"/>
    <w:p>
      <w:pPr>
        <w:pStyle w:val="Heading2"/>
      </w:pPr>
      <w:r>
        <w:t xml:space="preserve">Geologist-Driven Sales Success Factors</w:t>
      </w:r>
    </w:p>
    <w:p>
      <w:pPr>
        <w:pStyle w:val="FirstParagraph"/>
      </w:pPr>
      <w:r>
        <w:t xml:space="preserve">Our Q3 success stems directly from strategic deployment of certified geologists who understand Miami's geological idiosyncrasies. Key differentiators include:</w:t>
      </w:r>
    </w:p>
    <w:p>
      <w:pPr>
        <w:numPr>
          <w:ilvl w:val="0"/>
          <w:numId w:val="1001"/>
        </w:numPr>
        <w:pStyle w:val="Compact"/>
      </w:pPr>
      <w:r>
        <w:rPr>
          <w:bCs/>
          <w:b/>
        </w:rPr>
        <w:t xml:space="preserve">Sinkhole Risk Mitigation Expertise:</w:t>
      </w:r>
      <w:r>
        <w:t xml:space="preserve"> </w:t>
      </w:r>
      <w:r>
        <w:t xml:space="preserve">Geologists developed specialized assessment protocols that reduced client project delays by 37% for high-risk zones (e.g., the Allapattah neighborhood). This capability directly contributed to winning $412,000 in contracts with major developers like Related Companies.</w:t>
      </w:r>
    </w:p>
    <w:p>
      <w:pPr>
        <w:numPr>
          <w:ilvl w:val="0"/>
          <w:numId w:val="1001"/>
        </w:numPr>
        <w:pStyle w:val="Compact"/>
      </w:pPr>
      <w:r>
        <w:rPr>
          <w:bCs/>
          <w:b/>
        </w:rPr>
        <w:t xml:space="preserve">Regulatory Navigation:</w:t>
      </w:r>
      <w:r>
        <w:t xml:space="preserve"> </w:t>
      </w:r>
      <w:r>
        <w:t xml:space="preserve">Miami-Dade's complex permitting process requires precise geological documentation. Our geologists' familiarity with the Miami-Dade County Environmental Management Manual (Section 9-8) accelerated approval timelines by 28%, making our services indispensable for time-sensitive projects.</w:t>
      </w:r>
    </w:p>
    <w:p>
      <w:pPr>
        <w:numPr>
          <w:ilvl w:val="0"/>
          <w:numId w:val="1001"/>
        </w:numPr>
        <w:pStyle w:val="Compact"/>
      </w:pPr>
      <w:r>
        <w:rPr>
          <w:bCs/>
          <w:b/>
        </w:rPr>
        <w:t xml:space="preserve">Cross-Functional Collaboration:</w:t>
      </w:r>
      <w:r>
        <w:t xml:space="preserve"> </w:t>
      </w:r>
      <w:r>
        <w:t xml:space="preserve">Geologists now routinely co-develop solutions with civil engineers and environmental scientists during sales presentations. This integrated approach secured $315,000 in bundled service contracts with firms like AECOM, demonstrating how geological expertise enhances overall project value.</w:t>
      </w:r>
    </w:p>
    <w:bookmarkEnd w:id="23"/>
    <w:bookmarkStart w:id="24" w:name="market-challenges-in-united-states-miami"/>
    <w:p>
      <w:pPr>
        <w:pStyle w:val="Heading2"/>
      </w:pPr>
      <w:r>
        <w:t xml:space="preserve">Market Challenges in United States Miami</w:t>
      </w:r>
    </w:p>
    <w:p>
      <w:pPr>
        <w:pStyle w:val="FirstParagraph"/>
      </w:pPr>
      <w:r>
        <w:t xml:space="preserve">Despite growth opportunities, the Miami market presents unique hurdles requiring specialized sales strategies:</w:t>
      </w:r>
    </w:p>
    <w:p>
      <w:pPr>
        <w:numPr>
          <w:ilvl w:val="0"/>
          <w:numId w:val="1002"/>
        </w:numPr>
        <w:pStyle w:val="Compact"/>
      </w:pPr>
      <w:r>
        <w:rPr>
          <w:bCs/>
          <w:b/>
        </w:rPr>
        <w:t xml:space="preserve">Seasonal Workforce Constraints:</w:t>
      </w:r>
      <w:r>
        <w:t xml:space="preserve"> </w:t>
      </w:r>
      <w:r>
        <w:t xml:space="preserve">Hurricane season (June-November) creates project delays that impact sales cycles. In Q3, we experienced a 15% reduction in site work capacity due to Tropical Storm Bonnie, necessitating flexible geologist scheduling solutions.</w:t>
      </w:r>
    </w:p>
    <w:p>
      <w:pPr>
        <w:numPr>
          <w:ilvl w:val="0"/>
          <w:numId w:val="1002"/>
        </w:numPr>
        <w:pStyle w:val="Compact"/>
      </w:pPr>
      <w:r>
        <w:rPr>
          <w:bCs/>
          <w:b/>
        </w:rPr>
        <w:t xml:space="preserve">Competition from Out-of-Town Firms:</w:t>
      </w:r>
      <w:r>
        <w:t xml:space="preserve"> </w:t>
      </w:r>
      <w:r>
        <w:t xml:space="preserve">Non-local geology firms with lower rates captured 12% of the municipal contract market. Our response: Developed Miami-specific case studies showing how local geological knowledge prevents $500k+ in potential remediation costs.</w:t>
      </w:r>
    </w:p>
    <w:p>
      <w:pPr>
        <w:numPr>
          <w:ilvl w:val="0"/>
          <w:numId w:val="1002"/>
        </w:numPr>
        <w:pStyle w:val="Compact"/>
      </w:pPr>
      <w:r>
        <w:rPr>
          <w:bCs/>
          <w:b/>
        </w:rPr>
        <w:t xml:space="preserve">Client Education Demand:</w:t>
      </w:r>
      <w:r>
        <w:t xml:space="preserve"> </w:t>
      </w:r>
      <w:r>
        <w:t xml:space="preserve">Many developers underestimate geological risks until late in planning stages. Sales team invested $38,000 in Miami-focused educational workshops for real estate firms, resulting in a 29% increase in pre-design phase consultations.</w:t>
      </w:r>
    </w:p>
    <w:bookmarkEnd w:id="24"/>
    <w:bookmarkStart w:id="25" w:name="strategic-recommendations-for-q4"/>
    <w:p>
      <w:pPr>
        <w:pStyle w:val="Heading2"/>
      </w:pPr>
      <w:r>
        <w:t xml:space="preserve">Strategic Recommendations for Q4</w:t>
      </w:r>
    </w:p>
    <w:p>
      <w:pPr>
        <w:pStyle w:val="FirstParagraph"/>
      </w:pPr>
      <w:r>
        <w:t xml:space="preserve">To sustain growth in the United States Miami market, we recommend:</w:t>
      </w:r>
    </w:p>
    <w:p>
      <w:pPr>
        <w:numPr>
          <w:ilvl w:val="0"/>
          <w:numId w:val="1003"/>
        </w:numPr>
        <w:pStyle w:val="Compact"/>
      </w:pPr>
      <w:r>
        <w:rPr>
          <w:bCs/>
          <w:b/>
        </w:rPr>
        <w:t xml:space="preserve">Geologist Specialization Tracks:</w:t>
      </w:r>
      <w:r>
        <w:t xml:space="preserve"> </w:t>
      </w:r>
      <w:r>
        <w:t xml:space="preserve">Create dedicated teams focused on Miami-specific sub-disciplines (e.g., "Coastal Geology Specialists" for waterfront projects, "Limestone Risk Analysts" for subsurface development). This will position us as the unrivaled geological authority in the region.</w:t>
      </w:r>
    </w:p>
    <w:p>
      <w:pPr>
        <w:numPr>
          <w:ilvl w:val="0"/>
          <w:numId w:val="1003"/>
        </w:numPr>
        <w:pStyle w:val="Compact"/>
      </w:pPr>
      <w:r>
        <w:rPr>
          <w:bCs/>
          <w:b/>
        </w:rPr>
        <w:t xml:space="preserve">Miami Regulatory Partnership Program:</w:t>
      </w:r>
      <w:r>
        <w:t xml:space="preserve"> </w:t>
      </w:r>
      <w:r>
        <w:t xml:space="preserve">Formalize agreements with Miami-Dade County Planning Department to co-host quarterly compliance workshops. This builds credibility and generates 15+ qualified leads per session.</w:t>
      </w:r>
    </w:p>
    <w:p>
      <w:pPr>
        <w:numPr>
          <w:ilvl w:val="0"/>
          <w:numId w:val="1003"/>
        </w:numPr>
        <w:pStyle w:val="Compact"/>
      </w:pPr>
      <w:r>
        <w:rPr>
          <w:bCs/>
          <w:b/>
        </w:rPr>
        <w:t xml:space="preserve">Technology Integration:</w:t>
      </w:r>
      <w:r>
        <w:t xml:space="preserve"> </w:t>
      </w:r>
      <w:r>
        <w:t xml:space="preserve">Implement AI-powered geological modeling tools validated against Miami's unique karst topography. Early testing showed a 40% reduction in report generation time—critical for competing on price while maintaining quality.</w:t>
      </w:r>
    </w:p>
    <w:p>
      <w:pPr>
        <w:numPr>
          <w:ilvl w:val="0"/>
          <w:numId w:val="1003"/>
        </w:numPr>
        <w:pStyle w:val="Compact"/>
      </w:pPr>
      <w:r>
        <w:rPr>
          <w:bCs/>
          <w:b/>
        </w:rPr>
        <w:t xml:space="preserve">Targeted Client Expansion:</w:t>
      </w:r>
      <w:r>
        <w:t xml:space="preserve"> </w:t>
      </w:r>
      <w:r>
        <w:t xml:space="preserve">Prioritize healthcare and hospitality sectors (28% of Miami's new construction) where geological risks are often underestimated. Our geologists recently secured a $189,000 contract with a major hotel chain for their South Beach expansion.</w:t>
      </w:r>
    </w:p>
    <w:bookmarkEnd w:id="25"/>
    <w:bookmarkStart w:id="26" w:name="X9e72bcf14f1d30a4437cc2654652934342c9f86"/>
    <w:p>
      <w:pPr>
        <w:pStyle w:val="Heading2"/>
      </w:pPr>
      <w:r>
        <w:t xml:space="preserve">Conclusion: The Undeniable Value of Localized Geological Expertise</w:t>
      </w:r>
    </w:p>
    <w:p>
      <w:pPr>
        <w:pStyle w:val="FirstParagraph"/>
      </w:pPr>
      <w:r>
        <w:t xml:space="preserve">The Q3 results unequivocally demonstrate that in the United States Miami market, geologists are not merely service providers—they are strategic business assets. Our 18.7% revenue growth outpaces the national geological services average by 6.2 percentage points, directly attributable to our geologists' deep understanding of Miami's subsurface realities and regulatory environment. As climate change accelerates coastal vulnerabilities in South Florida, demand for precise geological assessments will only intensify.</w:t>
      </w:r>
    </w:p>
    <w:p>
      <w:pPr>
        <w:pStyle w:val="BodyText"/>
      </w:pPr>
      <w:r>
        <w:t xml:space="preserve">Looking ahead, we anticipate that Miami's $48 billion annual construction market (per 2023 Miami Building Association report) will require geological services for 94% of major projects by 2025. Our geologists' specialized knowledge of the region's limestone aquifers and sinkhole patterns positions us to capture a leading market share in this critical growth sector. The sales data confirms: in United States Miami, where geological conditions dictate development feasibility, the geologist isn't just part of the team—they are the key to closing every deal.</w:t>
      </w:r>
    </w:p>
    <w:p>
      <w:pPr>
        <w:pStyle w:val="BodyText"/>
      </w:pPr>
      <w:r>
        <w:rPr>
          <w:bCs/>
          <w:b/>
        </w:rPr>
        <w:t xml:space="preserve">Prepared By:</w:t>
      </w:r>
      <w:r>
        <w:t xml:space="preserve"> </w:t>
      </w:r>
      <w:r>
        <w:t xml:space="preserve">Strategic Sales Intelligence Unit |</w:t>
      </w:r>
      <w:r>
        <w:t xml:space="preserve"> </w:t>
      </w:r>
      <w:r>
        <w:rPr>
          <w:bCs/>
          <w:b/>
        </w:rPr>
        <w:t xml:space="preserve">Date:</w:t>
      </w:r>
      <w:r>
        <w:t xml:space="preserve"> </w:t>
      </w:r>
      <w:r>
        <w:t xml:space="preserve">October 15, 2023</w:t>
      </w:r>
      <w:r>
        <w:br/>
      </w:r>
      <w:r>
        <w:rPr>
          <w:bCs/>
          <w:b/>
        </w:rPr>
        <w:t xml:space="preserve">Geological Services Division | Miami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Miami Market Performance</dc:title>
  <dc:creator/>
  <dc:language>en</dc:language>
  <cp:keywords/>
  <dcterms:created xsi:type="dcterms:W3CDTF">2026-07-23T21:28:22Z</dcterms:created>
  <dcterms:modified xsi:type="dcterms:W3CDTF">2026-07-23T21:28:22Z</dcterms:modified>
</cp:coreProperties>
</file>

<file path=docProps/custom.xml><?xml version="1.0" encoding="utf-8"?>
<Properties xmlns="http://schemas.openxmlformats.org/officeDocument/2006/custom-properties" xmlns:vt="http://schemas.openxmlformats.org/officeDocument/2006/docPropsVTypes"/>
</file>