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Canada</w:t>
      </w:r>
      <w:r>
        <w:t xml:space="preserve"> </w:t>
      </w:r>
      <w:r>
        <w:t xml:space="preserve">Toronto</w:t>
      </w:r>
    </w:p>
    <w:bookmarkStart w:id="26" w:name="Xb3c3b4b1cd8f748033d575f10f8f1dca678d291"/>
    <w:p>
      <w:pPr>
        <w:pStyle w:val="Heading1"/>
      </w:pPr>
      <w:r>
        <w:t xml:space="preserve">Q3 2024 Sales Report: Graphic Designer Performance &amp; Strategic Growth Analysis - Canada Toronto Market</w:t>
      </w:r>
    </w:p>
    <w:p>
      <w:pPr>
        <w:pStyle w:val="FirstParagraph"/>
      </w:pPr>
      <w:r>
        <w:rPr>
          <w:bCs/>
          <w:b/>
        </w:rPr>
        <w:t xml:space="preserve">Prepared For:</w:t>
      </w:r>
      <w:r>
        <w:t xml:space="preserve"> </w:t>
      </w:r>
      <w:r>
        <w:t xml:space="preserve">Executive Leadership, Nexus Creative Studio</w:t>
      </w:r>
      <w:r>
        <w:br/>
      </w:r>
      <w:r>
        <w:rPr>
          <w:bCs/>
          <w:b/>
        </w:rPr>
        <w:t xml:space="preserve">Date:</w:t>
      </w:r>
      <w:r>
        <w:t xml:space="preserve"> </w:t>
      </w:r>
      <w:r>
        <w:t xml:space="preserve">October 26, 2024</w:t>
      </w:r>
      <w:r>
        <w:br/>
      </w:r>
      <w:r>
        <w:rPr>
          <w:bCs/>
          <w:b/>
        </w:rPr>
        <w:t xml:space="preserve">Reporting Period:</w:t>
      </w:r>
      <w:r>
        <w:t xml:space="preserve"> </w:t>
      </w:r>
      <w:r>
        <w:t xml:space="preserve">July 1, 2024 - September 30, 2024</w:t>
      </w:r>
      <w:r>
        <w:br/>
      </w:r>
      <w:r>
        <w:rPr>
          <w:bCs/>
          <w:b/>
        </w:rPr>
        <w:t xml:space="preserve">Prepared By:</w:t>
      </w:r>
      <w:r>
        <w:t xml:space="preserve"> </w:t>
      </w:r>
      <w:r>
        <w:t xml:space="preserve">Sales &amp; Strategy Department, Canada Toronto Office</w:t>
      </w:r>
    </w:p>
    <w:bookmarkStart w:id="20" w:name="i.-executive-summary"/>
    <w:p>
      <w:pPr>
        <w:pStyle w:val="Heading2"/>
      </w:pPr>
      <w:r>
        <w:t xml:space="preserve">I. Executive Summary</w:t>
      </w:r>
    </w:p>
    <w:p>
      <w:pPr>
        <w:pStyle w:val="FirstParagraph"/>
      </w:pPr>
      <w:r>
        <w:t xml:space="preserve">This Sales Report details the performance of our Graphic Designer team within the Canada Toronto market during Q3 2024. The report demonstrates how strategic design execution directly contributed to a 19% year-over-year revenue increase, validating our investment in creative talent as a core sales driver in one of North America's most competitive design hubs. Toronto's dynamic business landscape, from emerging startups in Queen West to established corporations on Bay Street, demanded exceptional adaptability from our Graphic Designer professionals. This document confirms that high-caliber graphic design is not merely an operational cost but a critical revenue engine for our Toronto operations.</w:t>
      </w:r>
    </w:p>
    <w:bookmarkEnd w:id="20"/>
    <w:bookmarkStart w:id="21" w:name="X9e2ffec52e9346e4316adef3e6d048c2ab1b650"/>
    <w:p>
      <w:pPr>
        <w:pStyle w:val="Heading2"/>
      </w:pPr>
      <w:r>
        <w:t xml:space="preserve">II. Sales Performance: Graphic Designer as a Revenue Catalyst</w:t>
      </w:r>
    </w:p>
    <w:p>
      <w:pPr>
        <w:pStyle w:val="FirstParagraph"/>
      </w:pPr>
      <w:r>
        <w:t xml:space="preserve">In Canada Toronto, the role of the Graphic Designer has evolved beyond aesthetics into a direct sales facilitator. Our data reveals that client acquisition campaigns featuring bespoke designs by our Toronto-based Graphic Designer team generated $412,000 in new business—representing 37% of total Q3 sales. This includes significant wins for major Toronto clients such as</w:t>
      </w:r>
      <w:r>
        <w:t xml:space="preserve"> </w:t>
      </w:r>
      <w:r>
        <w:rPr>
          <w:iCs/>
          <w:i/>
        </w:rPr>
        <w:t xml:space="preserve">Maple Leaf Sports &amp; Entertainment</w:t>
      </w:r>
      <w:r>
        <w:t xml:space="preserve"> </w:t>
      </w:r>
      <w:r>
        <w:t xml:space="preserve">(rebranding project) and</w:t>
      </w:r>
      <w:r>
        <w:t xml:space="preserve"> </w:t>
      </w:r>
      <w:r>
        <w:rPr>
          <w:iCs/>
          <w:i/>
        </w:rPr>
        <w:t xml:space="preserve">RBC Financial Group's Community Outreach Program</w:t>
      </w:r>
      <w:r>
        <w:t xml:space="preserve">, where our Graphic Designer's culturally nuanced visuals directly influenced client conversion rates.</w:t>
      </w:r>
    </w:p>
    <w:p>
      <w:pPr>
        <w:pStyle w:val="BodyText"/>
      </w:pPr>
      <w:r>
        <w:rPr>
          <w:bCs/>
          <w:b/>
        </w:rPr>
        <w:t xml:space="preserve">Key Metrics (Canada Toronto Office):</w:t>
      </w:r>
    </w:p>
    <w:p>
      <w:pPr>
        <w:numPr>
          <w:ilvl w:val="0"/>
          <w:numId w:val="1001"/>
        </w:numPr>
        <w:pStyle w:val="Compact"/>
      </w:pPr>
      <w:r>
        <w:rPr>
          <w:bCs/>
          <w:b/>
        </w:rPr>
        <w:t xml:space="preserve">New Client Acquisition:</w:t>
      </w:r>
      <w:r>
        <w:t xml:space="preserve"> </w:t>
      </w:r>
      <w:r>
        <w:t xml:space="preserve">28% increase from Q2, driven by portfolio showcasing Toronto-centric design solutions</w:t>
      </w:r>
    </w:p>
    <w:p>
      <w:pPr>
        <w:numPr>
          <w:ilvl w:val="0"/>
          <w:numId w:val="1001"/>
        </w:numPr>
        <w:pStyle w:val="Compact"/>
      </w:pPr>
      <w:r>
        <w:rPr>
          <w:bCs/>
          <w:b/>
        </w:rPr>
        <w:t xml:space="preserve">Client Retention Rate:</w:t>
      </w:r>
      <w:r>
        <w:t xml:space="preserve"> </w:t>
      </w:r>
      <w:r>
        <w:t xml:space="preserve">89% (vs. industry avg. of 75%), with Graphic Designer's consistent quality cited as top reason for renewal</w:t>
      </w:r>
    </w:p>
    <w:p>
      <w:pPr>
        <w:numPr>
          <w:ilvl w:val="0"/>
          <w:numId w:val="1001"/>
        </w:numPr>
        <w:pStyle w:val="Compact"/>
      </w:pPr>
      <w:r>
        <w:rPr>
          <w:bCs/>
          <w:b/>
        </w:rPr>
        <w:t xml:space="preserve">Avg. Project Value per Designer:</w:t>
      </w:r>
      <w:r>
        <w:t xml:space="preserve"> </w:t>
      </w:r>
      <w:r>
        <w:t xml:space="preserve">$14,200 (Up 16% YoY), reflecting premium pricing enabled by Toronto market demand</w:t>
      </w:r>
    </w:p>
    <w:p>
      <w:pPr>
        <w:numPr>
          <w:ilvl w:val="0"/>
          <w:numId w:val="1001"/>
        </w:numPr>
        <w:pStyle w:val="Compact"/>
      </w:pPr>
      <w:r>
        <w:rPr>
          <w:bCs/>
          <w:b/>
        </w:rPr>
        <w:t xml:space="preserve">Design-Driven Upsell Rate:</w:t>
      </w:r>
      <w:r>
        <w:t xml:space="preserve"> </w:t>
      </w:r>
      <w:r>
        <w:t xml:space="preserve">33% of clients purchased additional services after initial design engagement</w:t>
      </w:r>
    </w:p>
    <w:bookmarkEnd w:id="21"/>
    <w:bookmarkStart w:id="22" w:name="X94acac4506ba882bc45a28e0cdec85815e66155"/>
    <w:p>
      <w:pPr>
        <w:pStyle w:val="Heading2"/>
      </w:pPr>
      <w:r>
        <w:t xml:space="preserve">III. Canada Toronto Market Dynamics &amp; Strategic Alignment</w:t>
      </w:r>
    </w:p>
    <w:p>
      <w:pPr>
        <w:pStyle w:val="FirstParagraph"/>
      </w:pPr>
      <w:r>
        <w:t xml:space="preserve">The unique characteristics of the Canada Toronto market necessitate a specialized approach to graphic design that directly impacts sales outcomes. As the nation's creative capital, Toronto demands designs reflecting multiculturalism (50%+ city population identifies as visible minorities), sustainability consciousness (68% of local clients prioritize eco-friendly branding), and tech-forward innovation. Our Graphic Designer team in Toronto has successfully integrated these factors:</w:t>
      </w:r>
    </w:p>
    <w:p>
      <w:pPr>
        <w:pStyle w:val="BodyText"/>
      </w:pPr>
      <w:r>
        <w:rPr>
          <w:iCs/>
          <w:i/>
        </w:rPr>
        <w:t xml:space="preserve">Case Study: "Diversity in Motion" Campaign for Toronto Arts Council</w:t>
      </w:r>
    </w:p>
    <w:p>
      <w:pPr>
        <w:numPr>
          <w:ilvl w:val="0"/>
          <w:numId w:val="1002"/>
        </w:numPr>
        <w:pStyle w:val="Compact"/>
      </w:pPr>
      <w:r>
        <w:t xml:space="preserve">Designed by Senior Graphic Designer, Amina Chen (Toronto-based)</w:t>
      </w:r>
    </w:p>
    <w:p>
      <w:pPr>
        <w:numPr>
          <w:ilvl w:val="0"/>
          <w:numId w:val="1002"/>
        </w:numPr>
        <w:pStyle w:val="Compact"/>
      </w:pPr>
      <w:r>
        <w:t xml:space="preserve">Campaign utilized Indigenous patterns and Toronto neighborhood visuals</w:t>
      </w:r>
    </w:p>
    <w:p>
      <w:pPr>
        <w:numPr>
          <w:ilvl w:val="0"/>
          <w:numId w:val="1002"/>
        </w:numPr>
        <w:pStyle w:val="Compact"/>
      </w:pPr>
      <w:r>
        <w:t xml:space="preserve">Resulted in 32% higher engagement than previous campaigns</w:t>
      </w:r>
    </w:p>
    <w:p>
      <w:pPr>
        <w:numPr>
          <w:ilvl w:val="0"/>
          <w:numId w:val="1002"/>
        </w:numPr>
        <w:pStyle w:val="Compact"/>
      </w:pPr>
      <w:r>
        <w:t xml:space="preserve">Generated $85,000 in direct sales from new arts organization partnerships</w:t>
      </w:r>
    </w:p>
    <w:p>
      <w:pPr>
        <w:pStyle w:val="FirstParagraph"/>
      </w:pPr>
      <w:r>
        <w:t xml:space="preserve">This project exemplifies how our Graphic Designer's understanding of local culture drives tangible sales—critical for competing with other Toronto agencies. The report notes that 76% of Toronto clients specifically mention "cultural relevance" as a key factor in choosing design services, underscoring why this niche is vital to our Sales Report success metrics.</w:t>
      </w:r>
    </w:p>
    <w:bookmarkEnd w:id="22"/>
    <w:bookmarkStart w:id="23" w:name="X745bc62938a030047ccf60105d93a3c67318066"/>
    <w:p>
      <w:pPr>
        <w:pStyle w:val="Heading2"/>
      </w:pPr>
      <w:r>
        <w:t xml:space="preserve">IV. Challenges &amp; Competitive Landscape (Canada Toronto)</w:t>
      </w:r>
    </w:p>
    <w:p>
      <w:pPr>
        <w:pStyle w:val="FirstParagraph"/>
      </w:pPr>
      <w:r>
        <w:t xml:space="preserve">Despite strong performance, the Canada Toronto graphic design market presents unique challenges impacting sales velocity:</w:t>
      </w:r>
    </w:p>
    <w:p>
      <w:pPr>
        <w:numPr>
          <w:ilvl w:val="0"/>
          <w:numId w:val="1003"/>
        </w:numPr>
        <w:pStyle w:val="Compact"/>
      </w:pPr>
      <w:r>
        <w:rPr>
          <w:bCs/>
          <w:b/>
        </w:rPr>
        <w:t xml:space="preserve">Rising Talent Costs:</w:t>
      </w:r>
      <w:r>
        <w:t xml:space="preserve"> </w:t>
      </w:r>
      <w:r>
        <w:t xml:space="preserve">18% increase in designer salaries since Q1 2024 (Toronto average), requiring strategic pricing models</w:t>
      </w:r>
    </w:p>
    <w:p>
      <w:pPr>
        <w:numPr>
          <w:ilvl w:val="0"/>
          <w:numId w:val="1003"/>
        </w:numPr>
        <w:pStyle w:val="Compact"/>
      </w:pPr>
      <w:r>
        <w:rPr>
          <w:bCs/>
          <w:b/>
        </w:rPr>
        <w:t xml:space="preserve">Client Budget Constraints:</w:t>
      </w:r>
      <w:r>
        <w:t xml:space="preserve"> </w:t>
      </w:r>
      <w:r>
        <w:t xml:space="preserve">65% of Toronto SMEs reduced creative budgets amid economic uncertainty, demanding tighter sales cycles</w:t>
      </w:r>
    </w:p>
    <w:p>
      <w:pPr>
        <w:numPr>
          <w:ilvl w:val="0"/>
          <w:numId w:val="1003"/>
        </w:numPr>
        <w:pStyle w:val="Compact"/>
      </w:pPr>
      <w:r>
        <w:rPr>
          <w:bCs/>
          <w:b/>
        </w:rPr>
        <w:t xml:space="preserve">Competitive Saturation:</w:t>
      </w:r>
      <w:r>
        <w:t xml:space="preserve"> </w:t>
      </w:r>
      <w:r>
        <w:t xml:space="preserve">147 new design studios launched in Toronto Q3 alone, intensifying price competition</w:t>
      </w:r>
    </w:p>
    <w:p>
      <w:pPr>
        <w:pStyle w:val="FirstParagraph"/>
      </w:pPr>
      <w:r>
        <w:t xml:space="preserve">Our Graphic Designer team mitigated these through rapid adaptation: implementing tiered service packages (Starter, Professional, Enterprise) with clear ROI metrics for Toronto clients. This directly contributed to maintaining 92% project completion rate despite market headwinds.</w:t>
      </w:r>
    </w:p>
    <w:bookmarkEnd w:id="23"/>
    <w:bookmarkStart w:id="24" w:name="X56f97bdf04e7eb4b464d1fface017676003fb6e"/>
    <w:p>
      <w:pPr>
        <w:pStyle w:val="Heading2"/>
      </w:pPr>
      <w:r>
        <w:t xml:space="preserve">V. Strategic Recommendations for Q4 Canada Toronto</w:t>
      </w:r>
    </w:p>
    <w:p>
      <w:pPr>
        <w:pStyle w:val="FirstParagraph"/>
      </w:pPr>
      <w:r>
        <w:t xml:space="preserve">Based on this Sales Report analysis, we recommend three priority actions to leverage our Graphic Designer advantage in the Canada Toronto market:</w:t>
      </w:r>
    </w:p>
    <w:p>
      <w:pPr>
        <w:numPr>
          <w:ilvl w:val="0"/>
          <w:numId w:val="1004"/>
        </w:numPr>
        <w:pStyle w:val="Compact"/>
      </w:pPr>
      <w:r>
        <w:rPr>
          <w:bCs/>
          <w:b/>
        </w:rPr>
        <w:t xml:space="preserve">Launch "Toronto Design Hub" Subscription:</w:t>
      </w:r>
      <w:r>
        <w:t xml:space="preserve"> </w:t>
      </w:r>
      <w:r>
        <w:t xml:space="preserve">Offer annual packages with exclusive access to our Graphic Designer team for ongoing branding needs. Target: 40+ enterprise clients by Q1 2025 (Projected $385k revenue)</w:t>
      </w:r>
    </w:p>
    <w:p>
      <w:pPr>
        <w:numPr>
          <w:ilvl w:val="0"/>
          <w:numId w:val="1004"/>
        </w:numPr>
        <w:pStyle w:val="Compact"/>
      </w:pPr>
      <w:r>
        <w:rPr>
          <w:bCs/>
          <w:b/>
        </w:rPr>
        <w:t xml:space="preserve">Develop Toronto Cultural Competency Certification:</w:t>
      </w:r>
      <w:r>
        <w:t xml:space="preserve"> </w:t>
      </w:r>
      <w:r>
        <w:t xml:space="preserve">Train all Graphic Designers on localized cultural nuances (e.g., South Asian design sensibilities, Black Canadian visual traditions). Expected impact: 15% increase in client acquisition from underrepresented business communities.</w:t>
      </w:r>
    </w:p>
    <w:p>
      <w:pPr>
        <w:numPr>
          <w:ilvl w:val="0"/>
          <w:numId w:val="1004"/>
        </w:numPr>
        <w:pStyle w:val="Compact"/>
      </w:pPr>
      <w:r>
        <w:rPr>
          <w:bCs/>
          <w:b/>
        </w:rPr>
        <w:t xml:space="preserve">Integrate Design Metrics into Sales Training:</w:t>
      </w:r>
      <w:r>
        <w:t xml:space="preserve"> </w:t>
      </w:r>
      <w:r>
        <w:t xml:space="preserve">Equip sales team with data showing how specific design elements (color psychology, typography) directly influence conversion rates. This will standardize our Toronto sales approach across all client touchpoints.</w:t>
      </w:r>
    </w:p>
    <w:bookmarkEnd w:id="24"/>
    <w:bookmarkStart w:id="25" w:name="X9ac25456e49f0a36865d2205ea5ae4fcdcc3886"/>
    <w:p>
      <w:pPr>
        <w:pStyle w:val="Heading2"/>
      </w:pPr>
      <w:r>
        <w:t xml:space="preserve">VI. Conclusion: Graphic Designer as the Core Sales Asset</w:t>
      </w:r>
    </w:p>
    <w:p>
      <w:pPr>
        <w:pStyle w:val="FirstParagraph"/>
      </w:pPr>
      <w:r>
        <w:t xml:space="preserve">This Q3 2024 Sales Report unequivocally demonstrates that in the Canada Toronto market, our Graphic Designer team is not a cost center but the primary revenue generator. The 19% overall growth and premium pricing power achieved through strategic design execution prove that specialized creative talent drives sales velocity in our most competitive market. As Toronto continues to solidify its position as Canada's innovation capital, our investment in locally rooted Graphic Designer expertise will remain central to sustaining market leadership.</w:t>
      </w:r>
    </w:p>
    <w:p>
      <w:pPr>
        <w:pStyle w:val="BodyText"/>
      </w:pPr>
      <w:r>
        <w:t xml:space="preserve">Looking ahead, we project that optimizing this Graphic Designer-led sales model across all Toronto accounts will yield $1.2M+ in incremental revenue by Q2 2025. The data is clear: in the Canada Toronto marketplace, exceptional design isn't just about aesthetics—it's the most effective sales tool available.</w:t>
      </w:r>
    </w:p>
    <w:p>
      <w:pPr>
        <w:pStyle w:val="BodyText"/>
      </w:pPr>
      <w:r>
        <w:rPr>
          <w:bCs/>
          <w:b/>
        </w:rPr>
        <w:t xml:space="preserve">Appendix Note:</w:t>
      </w:r>
      <w:r>
        <w:t xml:space="preserve"> </w:t>
      </w:r>
      <w:r>
        <w:t xml:space="preserve">All financials and metrics reflect Canada Toronto office operations only (excluding remote clients), using CAD currency and conforming to Canadian accounting standards (ASPE).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Graphic Designer Performance in Canada Toronto</dc:title>
  <dc:creator/>
  <cp:keywords/>
  <dcterms:created xsi:type="dcterms:W3CDTF">2026-07-21T11:48:51Z</dcterms:created>
  <dcterms:modified xsi:type="dcterms:W3CDTF">2026-07-21T11:48:51Z</dcterms:modified>
</cp:coreProperties>
</file>

<file path=docProps/custom.xml><?xml version="1.0" encoding="utf-8"?>
<Properties xmlns="http://schemas.openxmlformats.org/officeDocument/2006/custom-properties" xmlns:vt="http://schemas.openxmlformats.org/officeDocument/2006/docPropsVTypes"/>
</file>