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Report:</w:t>
      </w:r>
      <w:r>
        <w:t xml:space="preserve"> </w:t>
      </w:r>
      <w:r>
        <w:t xml:space="preserve">China</w:t>
      </w:r>
      <w:r>
        <w:t xml:space="preserve"> </w:t>
      </w:r>
      <w:r>
        <w:t xml:space="preserve">Guangzhou</w:t>
      </w:r>
      <w:r>
        <w:t xml:space="preserve"> </w:t>
      </w:r>
      <w:r>
        <w:t xml:space="preserve">Market</w:t>
      </w:r>
      <w:r>
        <w:t xml:space="preserve"> </w:t>
      </w:r>
      <w:r>
        <w:t xml:space="preserve">Analysis</w:t>
      </w:r>
    </w:p>
    <w:bookmarkStart w:id="30" w:name="Xf6e3b138b552b107a80c8b28bdcfe0334ee71dd"/>
    <w:p>
      <w:pPr>
        <w:pStyle w:val="Heading1"/>
      </w:pPr>
      <w:r>
        <w:t xml:space="preserve">GRAPHIC DESIGNER SALES REPORT</w:t>
      </w:r>
      <w:r>
        <w:br/>
      </w:r>
      <w:r>
        <w:t xml:space="preserve">China Guangzhou Market Performance &amp; Strategic Outlook</w:t>
      </w:r>
    </w:p>
    <w:p>
      <w:pPr>
        <w:pStyle w:val="FirstParagraph"/>
      </w:pPr>
      <w:r>
        <w:t xml:space="preserve">Prepared for Internal Executive Review • Q3 2023 • Guangzhou Metropolitan Area</w:t>
      </w:r>
    </w:p>
    <w:bookmarkStart w:id="20" w:name="executive-summary"/>
    <w:p>
      <w:pPr>
        <w:pStyle w:val="Heading2"/>
      </w:pPr>
      <w:r>
        <w:t xml:space="preserve">Executive Summary</w:t>
      </w:r>
    </w:p>
    <w:p>
      <w:pPr>
        <w:pStyle w:val="FirstParagraph"/>
      </w:pPr>
      <w:r>
        <w:t xml:space="preserve">This comprehensive Sales Report analyzes the performance and market dynamics of our Graphic Designer team operating within China Guangzhou, the economic engine of Southern China. As Guangzhou remains one of Asia's most vibrant design hubs, our Graphic Designer professionals have delivered exceptional results this quarter, achieving 127% of revenue targets through strategic client acquisition and portfolio optimization. The report details how our design capabilities directly drive sales growth in this critical market segment, with Guangzhou serving as both a revenue powerhouse and innovation catalyst.</w:t>
      </w:r>
    </w:p>
    <w:bookmarkEnd w:id="20"/>
    <w:bookmarkStart w:id="22" w:name="market-context-why-guangzhou-matters"/>
    <w:p>
      <w:pPr>
        <w:pStyle w:val="Heading2"/>
      </w:pPr>
      <w:r>
        <w:t xml:space="preserve">Market Context: Why Guangzhou Matters</w:t>
      </w:r>
    </w:p>
    <w:p>
      <w:pPr>
        <w:pStyle w:val="FirstParagraph"/>
      </w:pPr>
      <w:r>
        <w:t xml:space="preserve">Guangzhou's status as China's third-largest city (population 18.7 million) and the capital of Guangdong Province positions it as a non-negotiable market for design-driven sales. As a global manufacturing and trading hub, the city hosts over 50% of China's export-oriented businesses—each requiring sophisticated branding, packaging, and digital assets. Our Sales Report confirms that Graphic Designer services directly correlate with client acquisition rates in Guangzhou: 89% of new enterprise clients (2023) cited design quality as their primary decision factor.</w:t>
      </w:r>
    </w:p>
    <w:bookmarkStart w:id="21" w:name="key-market-drivers-in-china-guangzhou"/>
    <w:p>
      <w:pPr>
        <w:pStyle w:val="Heading3"/>
      </w:pPr>
      <w:r>
        <w:t xml:space="preserve">Key Market Drivers in China Guangzhou</w:t>
      </w:r>
    </w:p>
    <w:p>
      <w:pPr>
        <w:numPr>
          <w:ilvl w:val="0"/>
          <w:numId w:val="1001"/>
        </w:numPr>
        <w:pStyle w:val="Compact"/>
      </w:pPr>
      <w:r>
        <w:rPr>
          <w:bCs/>
          <w:b/>
        </w:rPr>
        <w:t xml:space="preserve">E-commerce Dominance:</w:t>
      </w:r>
      <w:r>
        <w:t xml:space="preserve"> </w:t>
      </w:r>
      <w:r>
        <w:t xml:space="preserve">Guangzhou's e-commerce ecosystem (including Alibaba's South China hub) generates 67% of our digital design sales, with Graphic Designer teams creating conversion-optimized social media assets and product visuals.</w:t>
      </w:r>
    </w:p>
    <w:p>
      <w:pPr>
        <w:numPr>
          <w:ilvl w:val="0"/>
          <w:numId w:val="1001"/>
        </w:numPr>
        <w:pStyle w:val="Compact"/>
      </w:pPr>
      <w:r>
        <w:rPr>
          <w:bCs/>
          <w:b/>
        </w:rPr>
        <w:t xml:space="preserve">Manufacturing Boom:</w:t>
      </w:r>
      <w:r>
        <w:t xml:space="preserve"> </w:t>
      </w:r>
      <w:r>
        <w:t xml:space="preserve">The city's 23,000+ manufacturing firms demand packaging redesigns (up 41% YoY), where our Graphic Designer expertise directly increases client ROI by 28% through compliance with EU/US regulations.</w:t>
      </w:r>
    </w:p>
    <w:p>
      <w:pPr>
        <w:numPr>
          <w:ilvl w:val="0"/>
          <w:numId w:val="1001"/>
        </w:numPr>
        <w:pStyle w:val="Compact"/>
      </w:pPr>
      <w:r>
        <w:rPr>
          <w:bCs/>
          <w:b/>
        </w:rPr>
        <w:t xml:space="preserve">Cultural Localization:</w:t>
      </w:r>
      <w:r>
        <w:t xml:space="preserve"> </w:t>
      </w:r>
      <w:r>
        <w:t xml:space="preserve">Successful campaigns require understanding Guangzhou's unique consumer psyche—our Graphic Designer team achieved 92% client satisfaction by integrating Lingnan cultural motifs in packaging design for food brands.</w:t>
      </w:r>
    </w:p>
    <w:bookmarkEnd w:id="21"/>
    <w:bookmarkEnd w:id="22"/>
    <w:bookmarkStart w:id="23"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Actual</w:t>
            </w:r>
          </w:p>
        </w:tc>
        <w:tc>
          <w:tcPr/>
          <w:p>
            <w:pPr>
              <w:pStyle w:val="Compact"/>
              <w:jc w:val="left"/>
            </w:pPr>
            <w:r>
              <w:t xml:space="preserve">Target</w:t>
            </w:r>
          </w:p>
        </w:tc>
        <w:tc>
          <w:tcPr/>
          <w:p>
            <w:pPr>
              <w:pStyle w:val="Compact"/>
              <w:jc w:val="left"/>
            </w:pPr>
            <w:r>
              <w:t xml:space="preserve">Variance</w:t>
            </w:r>
          </w:p>
        </w:tc>
      </w:tr>
      <w:tr>
        <w:tc>
          <w:tcPr/>
          <w:p>
            <w:pPr>
              <w:pStyle w:val="Compact"/>
              <w:jc w:val="left"/>
            </w:pPr>
            <w:r>
              <w:t xml:space="preserve">Total Revenue from Design Services (RMB)</w:t>
            </w:r>
          </w:p>
        </w:tc>
        <w:tc>
          <w:tcPr/>
          <w:p>
            <w:pPr>
              <w:pStyle w:val="Compact"/>
              <w:jc w:val="left"/>
            </w:pPr>
            <w:r>
              <w:t xml:space="preserve">¥18,450,000</w:t>
            </w:r>
          </w:p>
        </w:tc>
        <w:tc>
          <w:tcPr/>
          <w:p>
            <w:pPr>
              <w:pStyle w:val="Compact"/>
              <w:jc w:val="left"/>
            </w:pPr>
            <w:r>
              <w:t xml:space="preserve">¥14,520,000</w:t>
            </w:r>
          </w:p>
        </w:tc>
        <w:tc>
          <w:tcPr/>
          <w:p>
            <w:pPr>
              <w:pStyle w:val="Compact"/>
              <w:jc w:val="left"/>
            </w:pPr>
            <w:r>
              <w:t xml:space="preserve">+27.1%</w:t>
            </w:r>
          </w:p>
        </w:tc>
      </w:tr>
      <w:tr>
        <w:tc>
          <w:tcPr/>
          <w:p>
            <w:pPr>
              <w:pStyle w:val="Compact"/>
              <w:jc w:val="left"/>
            </w:pPr>
            <w:r>
              <w:t xml:space="preserve">New Client Acquisition (Guangzhou)</w:t>
            </w:r>
          </w:p>
        </w:tc>
        <w:tc>
          <w:tcPr/>
          <w:p>
            <w:pPr>
              <w:pStyle w:val="Compact"/>
              <w:jc w:val="left"/>
            </w:pPr>
            <w:r>
              <w:t xml:space="preserve">38</w:t>
            </w:r>
          </w:p>
        </w:tc>
        <w:tc>
          <w:tcPr/>
          <w:p>
            <w:pPr>
              <w:pStyle w:val="Compact"/>
              <w:jc w:val="left"/>
            </w:pPr>
            <w:r>
              <w:t xml:space="preserve">32</w:t>
            </w:r>
          </w:p>
        </w:tc>
        <w:tc>
          <w:tcPr/>
          <w:p>
            <w:pPr>
              <w:pStyle w:val="Compact"/>
              <w:jc w:val="left"/>
            </w:pPr>
            <w:r>
              <w:t xml:space="preserve">+18.8%</w:t>
            </w:r>
          </w:p>
        </w:tc>
      </w:tr>
      <w:tr>
        <w:tc>
          <w:tcPr/>
          <w:p>
            <w:pPr>
              <w:pStyle w:val="Compact"/>
              <w:jc w:val="left"/>
            </w:pPr>
            <w:r>
              <w:t xml:space="preserve">Client Retention Rate (Graphic Designer Clients)</w:t>
            </w:r>
          </w:p>
        </w:tc>
        <w:tc>
          <w:tcPr/>
          <w:p>
            <w:pPr>
              <w:pStyle w:val="Compact"/>
              <w:jc w:val="left"/>
            </w:pPr>
            <w:r>
              <w:t xml:space="preserve">86%</w:t>
            </w:r>
          </w:p>
        </w:tc>
        <w:tc>
          <w:tcPr/>
          <w:p>
            <w:pPr>
              <w:pStyle w:val="Compact"/>
              <w:jc w:val="left"/>
            </w:pPr>
            <w:r>
              <w:t xml:space="preserve">79%</w:t>
            </w:r>
          </w:p>
        </w:tc>
        <w:tc>
          <w:tcPr/>
          <w:p>
            <w:pPr>
              <w:pStyle w:val="Compact"/>
              <w:jc w:val="left"/>
            </w:pPr>
            <w:r>
              <w:t xml:space="preserve">+7 points</w:t>
            </w:r>
          </w:p>
        </w:tc>
      </w:tr>
      <w:tr>
        <w:tc>
          <w:tcPr/>
          <w:p>
            <w:pPr>
              <w:pStyle w:val="Compact"/>
              <w:jc w:val="left"/>
            </w:pPr>
            <w:r>
              <w:t xml:space="preserve">Avg. Project Value (RMB)</w:t>
            </w:r>
          </w:p>
        </w:tc>
        <w:tc>
          <w:tcPr/>
          <w:p>
            <w:pPr>
              <w:pStyle w:val="Compact"/>
              <w:jc w:val="left"/>
            </w:pPr>
            <w:r>
              <w:t xml:space="preserve">¥485,000</w:t>
            </w:r>
          </w:p>
        </w:tc>
        <w:tc>
          <w:tcPr/>
          <w:p>
            <w:pPr>
              <w:pStyle w:val="Compact"/>
              <w:jc w:val="left"/>
            </w:pPr>
            <w:r>
              <w:t xml:space="preserve">¥428,000</w:t>
            </w:r>
          </w:p>
        </w:tc>
        <w:tc>
          <w:tcPr/>
          <w:p>
            <w:pPr>
              <w:pStyle w:val="Compact"/>
              <w:jc w:val="left"/>
            </w:pPr>
            <w:r>
              <w:t xml:space="preserve">+13.3%</w:t>
            </w:r>
          </w:p>
        </w:tc>
      </w:tr>
    </w:tbl>
    <w:p>
      <w:pPr>
        <w:pStyle w:val="BodyText"/>
      </w:pPr>
      <w:r>
        <w:t xml:space="preserve">These metrics demonstrate how our Graphic Designer team's strategic positioning in China Guangzhou directly fuels sales growth. Notably, the 27.1% revenue overperformance stems from premium service bundles—clients increasingly value integrated design-solution packages rather than single assets.</w:t>
      </w:r>
    </w:p>
    <w:bookmarkEnd w:id="23"/>
    <w:bookmarkStart w:id="24" w:name="critical-challenges-in-guangzhou-market"/>
    <w:p>
      <w:pPr>
        <w:pStyle w:val="Heading2"/>
      </w:pPr>
      <w:r>
        <w:t xml:space="preserve">Critical Challenges in Guangzhou Market</w:t>
      </w:r>
    </w:p>
    <w:p>
      <w:pPr>
        <w:pStyle w:val="FirstParagraph"/>
      </w:pPr>
      <w:r>
        <w:t xml:space="preserve">Despite strong results, our Sales Report identifies three pressing challenges requiring immediate action:</w:t>
      </w:r>
    </w:p>
    <w:p>
      <w:pPr>
        <w:numPr>
          <w:ilvl w:val="0"/>
          <w:numId w:val="1002"/>
        </w:numPr>
        <w:pStyle w:val="Compact"/>
      </w:pPr>
      <w:r>
        <w:rPr>
          <w:bCs/>
          <w:b/>
        </w:rPr>
        <w:t xml:space="preserve">Talent Competition:</w:t>
      </w:r>
      <w:r>
        <w:t xml:space="preserve"> </w:t>
      </w:r>
      <w:r>
        <w:t xml:space="preserve">Guangzhou's design talent pool is fiercely competitive, with local agencies offering 15-20% lower rates. Our Graphic Designer retention rate (86%) remains strong but requires investment in career pathing to counter attrition.</w:t>
      </w:r>
    </w:p>
    <w:p>
      <w:pPr>
        <w:numPr>
          <w:ilvl w:val="0"/>
          <w:numId w:val="1002"/>
        </w:numPr>
        <w:pStyle w:val="Compact"/>
      </w:pPr>
      <w:r>
        <w:rPr>
          <w:bCs/>
          <w:b/>
        </w:rPr>
        <w:t xml:space="preserve">Cultural Nuance Gap:</w:t>
      </w:r>
      <w:r>
        <w:t xml:space="preserve"> </w:t>
      </w:r>
      <w:r>
        <w:t xml:space="preserve">Early projects for Southeast Asian clients suffered from cultural missteps—our Guangzhou-based team now mandates mandatory Lingnan culture training for all Graphic Designer staff working on export-focused accounts.</w:t>
      </w:r>
    </w:p>
    <w:p>
      <w:pPr>
        <w:numPr>
          <w:ilvl w:val="0"/>
          <w:numId w:val="1002"/>
        </w:numPr>
        <w:pStyle w:val="Compact"/>
      </w:pPr>
      <w:r>
        <w:rPr>
          <w:bCs/>
          <w:b/>
        </w:rPr>
        <w:t xml:space="preserve">Regulatory Hurdles:</w:t>
      </w:r>
      <w:r>
        <w:t xml:space="preserve"> </w:t>
      </w:r>
      <w:r>
        <w:t xml:space="preserve">Guangzhou's strict e-commerce ad regulations require Graphic Designer teams to certify all assets. We've implemented a new compliance module that reduced rejection rates by 64% in Q3.</w:t>
      </w:r>
    </w:p>
    <w:bookmarkEnd w:id="24"/>
    <w:bookmarkStart w:id="27" w:name="strategic-growth-initiatives-q4-2023"/>
    <w:p>
      <w:pPr>
        <w:pStyle w:val="Heading2"/>
      </w:pPr>
      <w:r>
        <w:t xml:space="preserve">Strategic Growth Initiatives (Q4 2023)</w:t>
      </w:r>
    </w:p>
    <w:p>
      <w:pPr>
        <w:pStyle w:val="FirstParagraph"/>
      </w:pPr>
      <w:r>
        <w:t xml:space="preserve">To capitalize on Guangzhou's potential, we propose three targeted initiatives that directly address Sales Report findings:</w:t>
      </w:r>
    </w:p>
    <w:bookmarkStart w:id="25" w:name="Xc4365b9d82ac5e4ecb02ea64fe5e37fd557e528"/>
    <w:p>
      <w:pPr>
        <w:pStyle w:val="Heading3"/>
      </w:pPr>
      <w:r>
        <w:t xml:space="preserve">Launch "Guangzhou Design Accelerator" Program</w:t>
      </w:r>
    </w:p>
    <w:p>
      <w:pPr>
        <w:pStyle w:val="FirstParagraph"/>
      </w:pPr>
      <w:r>
        <w:t xml:space="preserve">Co-developed with Guangdong University of Technology, this initiative will train junior Graphic Designer talent specifically for Guangzhou's manufacturing export ecosystem. Expected impact: 40% reduction in client onboarding time and 25% higher project profitability by Q2 2024.</w:t>
      </w:r>
    </w:p>
    <w:bookmarkEnd w:id="25"/>
    <w:bookmarkStart w:id="26" w:name="implement-ai-powered-design-studio"/>
    <w:p>
      <w:pPr>
        <w:pStyle w:val="Heading3"/>
      </w:pPr>
      <w:r>
        <w:t xml:space="preserve">Implement AI-Powered Design Studio</w:t>
      </w:r>
    </w:p>
    <w:p>
      <w:pPr>
        <w:pStyle w:val="FirstParagraph"/>
      </w:pPr>
      <w:r>
        <w:t xml:space="preserve">Deploying localized AI tools (trained on Guangzhou consumer behavior datasets) to accelerate Graphic Designer workflows. This will enable our team to deliver 2x more mockups per project while maintaining cultural relevance—projected 30% sales increase from existing accounts.</w:t>
      </w:r>
    </w:p>
    <w:bookmarkEnd w:id="26"/>
    <w:bookmarkEnd w:id="27"/>
    <w:bookmarkStart w:id="28" w:name="future-outlook-investment-justification"/>
    <w:p>
      <w:pPr>
        <w:pStyle w:val="Heading2"/>
      </w:pPr>
      <w:r>
        <w:t xml:space="preserve">Future Outlook &amp; Investment Justification</w:t>
      </w:r>
    </w:p>
    <w:p>
      <w:pPr>
        <w:pStyle w:val="FirstParagraph"/>
      </w:pPr>
      <w:r>
        <w:t xml:space="preserve">China Guangzhou's design market is projected to grow at 14.7% CAGR through 2027 (IBISWorld), driven by its role as the nation's "front door" for global trade. Our Sales Report confirms that Graphic Designer capabilities are now a primary revenue multiplier, not just a cost center. Every RMB 1 invested in our Guangzhou design team generates RMB 4.3 in direct sales—making it the highest-ROI department in our China operations.</w:t>
      </w:r>
    </w:p>
    <w:p>
      <w:pPr>
        <w:pStyle w:val="BodyText"/>
      </w:pPr>
      <w:r>
        <w:t xml:space="preserve">As we scale, two opportunities demand immediate focus: First, capturing the rising demand for sustainable packaging design (82% of Guangzhou manufacturers now require eco-certifications). Second, expanding into Guangzhou's burgeoning metaverse marketing sector—where Graphic Designer expertise in 3D assets can command 35% premium pricing.</w:t>
      </w:r>
    </w:p>
    <w:bookmarkEnd w:id="28"/>
    <w:bookmarkStart w:id="29" w:name="conclusion"/>
    <w:p>
      <w:pPr>
        <w:pStyle w:val="Heading2"/>
      </w:pPr>
      <w:r>
        <w:t xml:space="preserve">Conclusion</w:t>
      </w:r>
    </w:p>
    <w:p>
      <w:pPr>
        <w:pStyle w:val="FirstParagraph"/>
      </w:pPr>
      <w:r>
        <w:t xml:space="preserve">This Sales Report unequivocally positions China Guangzhou as the cornerstone of our design-driven sales strategy. The Graphic Designer team has not only exceeded financial targets but has become the competitive differentiator that wins premium clients in one of Asia's most demanding markets. By doubling down on cultural intelligence, AI augmentation, and talent development specific to Guangzhou's economic ecosystem, we project a 52% revenue increase from this region by Q4 2024.</w:t>
      </w:r>
    </w:p>
    <w:p>
      <w:pPr>
        <w:pStyle w:val="BodyText"/>
      </w:pPr>
      <w:r>
        <w:t xml:space="preserve">As the city evolves into China's design capital for global trade, our commitment to excellence in Graphic Designer services will remain central to our sales success. We recommend allocating 18% of Q4 marketing budget specifically toward Guangzhou design ecosystem partnerships—this is no longer optional but essential for sustained growth in China's most dynamic market.</w:t>
      </w:r>
    </w:p>
    <w:p>
      <w:pPr>
        <w:pStyle w:val="BodyText"/>
      </w:pPr>
      <w:r>
        <w:t xml:space="preserve">Prepared by Sales Intelligence Team</w:t>
      </w:r>
      <w:r>
        <w:br/>
      </w:r>
      <w:r>
        <w:t xml:space="preserve">Guangzhou Design Division • China</w:t>
      </w:r>
      <w:r>
        <w:br/>
      </w:r>
      <w:r>
        <w:t xml:space="preserve">Date: 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Report: China Guangzhou Market Analysis</dc:title>
  <dc:creator/>
  <dc:language>en</dc:language>
  <cp:keywords/>
  <dcterms:created xsi:type="dcterms:W3CDTF">2025-12-11T06:07:30Z</dcterms:created>
  <dcterms:modified xsi:type="dcterms:W3CDTF">2025-12-11T06:07:30Z</dcterms:modified>
</cp:coreProperties>
</file>

<file path=docProps/custom.xml><?xml version="1.0" encoding="utf-8"?>
<Properties xmlns="http://schemas.openxmlformats.org/officeDocument/2006/custom-properties" xmlns:vt="http://schemas.openxmlformats.org/officeDocument/2006/docPropsVTypes"/>
</file>