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9" w:name="X33045015719310201583ff84bd039fabd2f20df"/>
    <w:p>
      <w:pPr>
        <w:pStyle w:val="Heading1"/>
      </w:pPr>
      <w:r>
        <w:t xml:space="preserve">Sales Report: Graphic Designer Performance in Colombia Bogotá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Creative Studio Bogotá</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Graphic Design team operating within the dynamic creative market of Colombia Bogotá. Despite regional economic fluctuations, our studio achieved a remarkable 18% year-over-year revenue growth, generating $147,500 in Q3 2023. This success is directly attributed to strategic client acquisition in Bogotá's burgeoning digital marketing sector and our specialized adaptation to Colombia's unique cultural aesthetics. The report analyzes key sales metrics, market positioning, and opportunities for expansion within the Colombian capital.</w:t>
      </w:r>
    </w:p>
    <w:bookmarkEnd w:id="20"/>
    <w:bookmarkStart w:id="22" w:name="X44317cb4235e01e3ce3b37363694a7e5dafcd06"/>
    <w:p>
      <w:pPr>
        <w:pStyle w:val="Heading2"/>
      </w:pPr>
      <w:r>
        <w:t xml:space="preserve">II. Market Context: Colombia Bogotá Creative Landscape</w:t>
      </w:r>
    </w:p>
    <w:p>
      <w:pPr>
        <w:pStyle w:val="FirstParagraph"/>
      </w:pPr>
      <w:r>
        <w:t xml:space="preserve">Bogotá remains Colombia's undisputed creative hub, home to 68% of the country's design agencies and 43% of all digital marketing spend. The city's economy is fueled by diverse industries including finance (Bancolombia, Davivienda), retail (Carrefour, Éxito), and rapidly growing tech startups (e.g., Rappi, Nubank). This ecosystem creates consistent demand for high-impact visual solutions that resonate with Colombian consumers. Our analysis confirms Bogotá's graphic design market is projected to grow at 9.2% annually through 2025, driven by mobile-first branding needs and social commerce trends.</w:t>
      </w:r>
    </w:p>
    <w:bookmarkStart w:id="21" w:name="key-market-insights"/>
    <w:p>
      <w:pPr>
        <w:pStyle w:val="Heading3"/>
      </w:pPr>
      <w:r>
        <w:t xml:space="preserve">Key Market Insights:</w:t>
      </w:r>
    </w:p>
    <w:p>
      <w:pPr>
        <w:numPr>
          <w:ilvl w:val="0"/>
          <w:numId w:val="1001"/>
        </w:numPr>
        <w:pStyle w:val="Compact"/>
      </w:pPr>
      <w:r>
        <w:rPr>
          <w:bCs/>
          <w:b/>
        </w:rPr>
        <w:t xml:space="preserve">Cultural Nuance Demand:</w:t>
      </w:r>
      <w:r>
        <w:t xml:space="preserve"> </w:t>
      </w:r>
      <w:r>
        <w:t xml:space="preserve">76% of Bogotá clients require locally relevant visual storytelling (e.g., incorporating Andean motifs, Afro-Colombian patterns, or street art influences).</w:t>
      </w:r>
    </w:p>
    <w:p>
      <w:pPr>
        <w:numPr>
          <w:ilvl w:val="0"/>
          <w:numId w:val="1001"/>
        </w:numPr>
        <w:pStyle w:val="Compact"/>
      </w:pPr>
      <w:r>
        <w:rPr>
          <w:bCs/>
          <w:b/>
        </w:rPr>
        <w:t xml:space="preserve">Digital Shift:</w:t>
      </w:r>
      <w:r>
        <w:t xml:space="preserve"> </w:t>
      </w:r>
      <w:r>
        <w:t xml:space="preserve">89% of sales now originate from digital campaigns (social media ads, email marketing) versus traditional print.</w:t>
      </w:r>
    </w:p>
    <w:p>
      <w:pPr>
        <w:numPr>
          <w:ilvl w:val="0"/>
          <w:numId w:val="1001"/>
        </w:numPr>
        <w:pStyle w:val="Compact"/>
      </w:pPr>
      <w:r>
        <w:rPr>
          <w:bCs/>
          <w:b/>
        </w:rPr>
        <w:t xml:space="preserve">Price Sensitivity:</w:t>
      </w:r>
      <w:r>
        <w:t xml:space="preserve"> </w:t>
      </w:r>
      <w:r>
        <w:t xml:space="preserve">Bogotá clients prioritize ROI-driven design with 62% willing to pay premium rates for data-backed creative solutions.</w:t>
      </w:r>
    </w:p>
    <w:bookmarkEnd w:id="21"/>
    <w:bookmarkEnd w:id="22"/>
    <w:bookmarkStart w:id="24" w:name="iii.-sales-performance-metrics-q3-2023"/>
    <w:p>
      <w:pPr>
        <w:pStyle w:val="Heading2"/>
      </w:pPr>
      <w:r>
        <w:t xml:space="preserve">III. Sales Performance Metrics (Q3 2023)</w:t>
      </w:r>
    </w:p>
    <w:p>
      <w:pPr>
        <w:pStyle w:val="FirstParagraph"/>
      </w:pPr>
      <w:r>
        <w:t xml:space="preserve">Category</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$147,500</w:t>
      </w:r>
    </w:p>
    <w:p>
      <w:pPr>
        <w:pStyle w:val="BodyText"/>
      </w:pPr>
      <w:r>
        <w:t xml:space="preserve">$125,000</w:t>
      </w:r>
    </w:p>
    <w:p>
      <w:pPr>
        <w:pStyle w:val="BodyText"/>
      </w:pPr>
      <w:r>
        <w:t xml:space="preserve">+18%</w:t>
      </w:r>
    </w:p>
    <w:p>
      <w:pPr>
        <w:pStyle w:val="BodyText"/>
      </w:pPr>
      <w:r>
        <w:t xml:space="preserve">New Clients Acquired</w:t>
      </w:r>
    </w:p>
    <w:p>
      <w:pPr>
        <w:pStyle w:val="BodyText"/>
      </w:pPr>
      <w:r>
        <w:t xml:space="preserve">27</w:t>
      </w:r>
    </w:p>
    <w:p>
      <w:pPr>
        <w:pStyle w:val="BodyText"/>
      </w:pPr>
      <w:r>
        <w:br/>
      </w:r>
    </w:p>
    <w:p>
      <w:pPr>
        <w:pStyle w:val="BodyText"/>
      </w:pPr>
      <w:r>
        <w:t xml:space="preserve">19</w:t>
      </w:r>
    </w:p>
    <w:p>
      <w:pPr>
        <w:pStyle w:val="BodyText"/>
      </w:pPr>
      <w:r>
        <w:br/>
      </w:r>
    </w:p>
    <w:p>
      <w:pPr>
        <w:pStyle w:val="BodyText"/>
      </w:pPr>
      <w:r>
        <w:t xml:space="preserve">+42.1%</w:t>
      </w:r>
    </w:p>
    <w:p>
      <w:pPr>
        <w:pStyle w:val="BodyText"/>
      </w:pPr>
      <w:r>
        <w:br/>
      </w:r>
    </w:p>
    <w:p>
      <w:pPr>
        <w:pStyle w:val="BodyText"/>
      </w:pPr>
      <w:r>
        <w:t xml:space="preserve">Avg. Project Value (USD)</w:t>
      </w:r>
    </w:p>
    <w:p>
      <w:pPr>
        <w:pStyle w:val="BodyText"/>
      </w:pPr>
      <w:r>
        <w:t xml:space="preserve">$5,463</w:t>
      </w:r>
    </w:p>
    <w:p>
      <w:pPr>
        <w:pStyle w:val="BodyText"/>
      </w:pPr>
      <w:r>
        <w:t xml:space="preserve">$5,000</w:t>
      </w:r>
    </w:p>
    <w:p>
      <w:pPr>
        <w:pStyle w:val="BodyText"/>
      </w:pPr>
      <w:r>
        <w:t xml:space="preserve">+9.3%</w:t>
      </w:r>
    </w:p>
    <w:p>
      <w:pPr>
        <w:pStyle w:val="BodyText"/>
      </w:pPr>
      <w:r>
        <w:rPr>
          <w:bCs/>
          <w:b/>
        </w:rPr>
        <w:t xml:space="preserve">Total Sales Pipeline (Oct 2023)</w:t>
      </w:r>
    </w:p>
    <w:p>
      <w:pPr>
        <w:pStyle w:val="BodyText"/>
      </w:pPr>
      <w:r>
        <w:rPr>
          <w:bCs/>
          <w:b/>
        </w:rPr>
        <w:t xml:space="preserve">$189,250</w:t>
      </w:r>
    </w:p>
    <w:p>
      <w:pPr>
        <w:pStyle w:val="BodyText"/>
      </w:pPr>
      <w:r>
        <w:rPr>
          <w:bCs/>
          <w:b/>
        </w:rPr>
        <w:t xml:space="preserve">+31% YoY</w:t>
      </w:r>
    </w:p>
    <w:bookmarkStart w:id="23" w:name="X588dee395c116af44e60a41a35514762f19c65e"/>
    <w:p>
      <w:pPr>
        <w:pStyle w:val="Heading3"/>
      </w:pPr>
      <w:r>
        <w:t xml:space="preserve">Top 5 Client Sectors Driving Sales in Colombia Bogotá:</w:t>
      </w:r>
    </w:p>
    <w:p>
      <w:pPr>
        <w:numPr>
          <w:ilvl w:val="0"/>
          <w:numId w:val="1002"/>
        </w:numPr>
        <w:pStyle w:val="Compact"/>
      </w:pPr>
      <w:r>
        <w:rPr>
          <w:bCs/>
          <w:b/>
        </w:rPr>
        <w:t xml:space="preserve">E-Commerce Brands (32% of revenue):</w:t>
      </w:r>
      <w:r>
        <w:t xml:space="preserve"> </w:t>
      </w:r>
      <w:r>
        <w:t xml:space="preserve">Local startups like "Kapital" and "Mama's Kitchen" required rapid social media asset creation for TikTok/Instagram campaigns.</w:t>
      </w:r>
    </w:p>
    <w:p>
      <w:pPr>
        <w:numPr>
          <w:ilvl w:val="0"/>
          <w:numId w:val="1002"/>
        </w:numPr>
        <w:pStyle w:val="Compact"/>
      </w:pPr>
      <w:r>
        <w:rPr>
          <w:bCs/>
          <w:b/>
        </w:rPr>
        <w:t xml:space="preserve">Financial Institutions (25%):</w:t>
      </w:r>
      <w:r>
        <w:t xml:space="preserve"> </w:t>
      </w:r>
      <w:r>
        <w:t xml:space="preserve">Banco Caja Social commissioned rebranding for their digital banking platform, emphasizing security through Colombian color symbolism.</w:t>
      </w:r>
    </w:p>
    <w:p>
      <w:pPr>
        <w:numPr>
          <w:ilvl w:val="0"/>
          <w:numId w:val="1002"/>
        </w:numPr>
        <w:pStyle w:val="Compact"/>
      </w:pPr>
      <w:r>
        <w:rPr>
          <w:bCs/>
          <w:b/>
        </w:rPr>
        <w:t xml:space="preserve">Retail Chains (18%):</w:t>
      </w:r>
      <w:r>
        <w:t xml:space="preserve"> </w:t>
      </w:r>
      <w:r>
        <w:t xml:space="preserve">Éxito's seasonal campaign needed culturally adapted packaging designs for Bogotá-specific customer segments.</w:t>
      </w:r>
    </w:p>
    <w:p>
      <w:pPr>
        <w:numPr>
          <w:ilvl w:val="0"/>
          <w:numId w:val="1002"/>
        </w:numPr>
        <w:pStyle w:val="Compact"/>
      </w:pPr>
      <w:r>
        <w:rPr>
          <w:bCs/>
          <w:b/>
        </w:rPr>
        <w:t xml:space="preserve">Healthcare Startups (15%):</w:t>
      </w:r>
      <w:r>
        <w:t xml:space="preserve"> </w:t>
      </w:r>
      <w:r>
        <w:t xml:space="preserve">Telehealth platforms like "DocApp" required accessible UX/UI design aligned with Colombian health literacy standards.</w:t>
      </w:r>
    </w:p>
    <w:p>
      <w:pPr>
        <w:numPr>
          <w:ilvl w:val="0"/>
          <w:numId w:val="1002"/>
        </w:numPr>
        <w:pStyle w:val="Compact"/>
      </w:pPr>
      <w:r>
        <w:rPr>
          <w:bCs/>
          <w:b/>
        </w:rPr>
        <w:t xml:space="preserve">Social Enterprises (10%):</w:t>
      </w:r>
      <w:r>
        <w:t xml:space="preserve"> </w:t>
      </w:r>
      <w:r>
        <w:t xml:space="preserve">NGOs such as "Bogotá Sin Hambre" needed donation campaign materials reflecting local community art forms.</w:t>
      </w:r>
    </w:p>
    <w:bookmarkEnd w:id="23"/>
    <w:bookmarkEnd w:id="24"/>
    <w:bookmarkStart w:id="25" w:name="Xa6517e02d92648ee04864ee0b7be927b538a6fe"/>
    <w:p>
      <w:pPr>
        <w:pStyle w:val="Heading2"/>
      </w:pPr>
      <w:r>
        <w:t xml:space="preserve">IV. Client Acquisition Strategy in Bogotá</w:t>
      </w:r>
    </w:p>
    <w:p>
      <w:pPr>
        <w:pStyle w:val="FirstParagraph"/>
      </w:pPr>
      <w:r>
        <w:t xml:space="preserve">Our sales success stems from hyper-localized engagement tactics specific to Colombia's creative economy:</w:t>
      </w:r>
    </w:p>
    <w:p>
      <w:pPr>
        <w:numPr>
          <w:ilvl w:val="0"/>
          <w:numId w:val="1003"/>
        </w:numPr>
        <w:pStyle w:val="Compact"/>
      </w:pPr>
      <w:r>
        <w:rPr>
          <w:bCs/>
          <w:b/>
        </w:rPr>
        <w:t xml:space="preserve">Bogotá Networking Events:</w:t>
      </w:r>
      <w:r>
        <w:t xml:space="preserve"> </w:t>
      </w:r>
      <w:r>
        <w:t xml:space="preserve">We secured 14 new clients through partnerships with local institutions like "Fundación ProAves" and "Bogotá Design Week," where we presented case studies on culturally resonant branding.</w:t>
      </w:r>
    </w:p>
    <w:p>
      <w:pPr>
        <w:numPr>
          <w:ilvl w:val="0"/>
          <w:numId w:val="1003"/>
        </w:numPr>
        <w:pStyle w:val="Compact"/>
      </w:pPr>
      <w:r>
        <w:rPr>
          <w:bCs/>
          <w:b/>
        </w:rPr>
        <w:t xml:space="preserve">Google Ads Localization:</w:t>
      </w:r>
      <w:r>
        <w:t xml:space="preserve"> </w:t>
      </w:r>
      <w:r>
        <w:t xml:space="preserve">Targeted campaigns using Colombian Spanish keywords ("diseño gráfico Bogotá", "branding para startups Colombia") generated 47% of inbound leads.</w:t>
      </w:r>
    </w:p>
    <w:p>
      <w:pPr>
        <w:numPr>
          <w:ilvl w:val="0"/>
          <w:numId w:val="1003"/>
        </w:numPr>
        <w:pStyle w:val="Compact"/>
      </w:pPr>
      <w:r>
        <w:rPr>
          <w:bCs/>
          <w:b/>
        </w:rPr>
        <w:t xml:space="preserve">Cultural Collaboration:</w:t>
      </w:r>
      <w:r>
        <w:t xml:space="preserve"> </w:t>
      </w:r>
      <w:r>
        <w:t xml:space="preserve">Partnered with iconic Bogotá artist "Fernando Botero" Foundation for a limited-edition campaign, resulting in three premium client acquisitions.</w:t>
      </w:r>
    </w:p>
    <w:bookmarkEnd w:id="25"/>
    <w:bookmarkStart w:id="26" w:name="v.-challenges-in-colombia-bogotá-market"/>
    <w:p>
      <w:pPr>
        <w:pStyle w:val="Heading2"/>
      </w:pPr>
      <w:r>
        <w:t xml:space="preserve">V. Challenges in Colombia Bogotá Market</w:t>
      </w:r>
    </w:p>
    <w:p>
      <w:pPr>
        <w:pStyle w:val="FirstParagraph"/>
      </w:pPr>
      <w:r>
        <w:t xml:space="preserve">Despite strong performance, we encountered critical market-specific hurdles:</w:t>
      </w:r>
    </w:p>
    <w:p>
      <w:pPr>
        <w:numPr>
          <w:ilvl w:val="0"/>
          <w:numId w:val="1004"/>
        </w:numPr>
        <w:pStyle w:val="Compact"/>
      </w:pPr>
      <w:r>
        <w:rPr>
          <w:bCs/>
          <w:b/>
        </w:rPr>
        <w:t xml:space="preserve">Currency Volatility:</w:t>
      </w:r>
      <w:r>
        <w:t xml:space="preserve"> </w:t>
      </w:r>
      <w:r>
        <w:t xml:space="preserve">34% of projects experienced payment delays due to USD/COP exchange rate fluctuations, particularly affecting mid-sized businesses.</w:t>
      </w:r>
    </w:p>
    <w:p>
      <w:pPr>
        <w:numPr>
          <w:ilvl w:val="0"/>
          <w:numId w:val="1004"/>
        </w:numPr>
        <w:pStyle w:val="Compact"/>
      </w:pPr>
      <w:r>
        <w:rPr>
          <w:bCs/>
          <w:b/>
        </w:rPr>
        <w:t xml:space="preserve">Client Education Gap:</w:t>
      </w:r>
      <w:r>
        <w:t xml:space="preserve"> </w:t>
      </w:r>
      <w:r>
        <w:t xml:space="preserve">58% of Bogotá SMEs lack understanding of design ROI, requiring additional sales effort to justify premium pricing (e.g., presenting case studies showing 23% average social media engagement lift).</w:t>
      </w:r>
    </w:p>
    <w:p>
      <w:pPr>
        <w:numPr>
          <w:ilvl w:val="0"/>
          <w:numId w:val="1004"/>
        </w:numPr>
        <w:pStyle w:val="Compact"/>
      </w:pPr>
      <w:r>
        <w:rPr>
          <w:bCs/>
          <w:b/>
        </w:rPr>
        <w:t xml:space="preserve">Talent Competition:</w:t>
      </w:r>
      <w:r>
        <w:t xml:space="preserve"> </w:t>
      </w:r>
      <w:r>
        <w:t xml:space="preserve">Rising demand for Graphic Designer roles in Bogotá has increased salaries by 15% YoY, straining our creative team capacity.</w:t>
      </w:r>
    </w:p>
    <w:bookmarkEnd w:id="26"/>
    <w:bookmarkStart w:id="27" w:name="vi.-future-growth-opportunities"/>
    <w:p>
      <w:pPr>
        <w:pStyle w:val="Heading2"/>
      </w:pPr>
      <w:r>
        <w:t xml:space="preserve">VI. Future Growth Opportunities</w:t>
      </w:r>
    </w:p>
    <w:p>
      <w:pPr>
        <w:pStyle w:val="FirstParagraph"/>
      </w:pPr>
      <w:r>
        <w:t xml:space="preserve">Based on Bogotá's market trajectory, we recommend these strategic initiatives:</w:t>
      </w:r>
    </w:p>
    <w:p>
      <w:pPr>
        <w:numPr>
          <w:ilvl w:val="0"/>
          <w:numId w:val="1005"/>
        </w:numPr>
        <w:pStyle w:val="Compact"/>
      </w:pPr>
      <w:r>
        <w:rPr>
          <w:bCs/>
          <w:b/>
        </w:rPr>
        <w:t xml:space="preserve">Develop Colombia-Specific Design Templates:</w:t>
      </w:r>
      <w:r>
        <w:t xml:space="preserve"> </w:t>
      </w:r>
      <w:r>
        <w:t xml:space="preserve">Create pre-packaged social media assets for common Bogotá industries (e.g., "Coffee Branding Kit" featuring Andean landscapes), targeting 30% revenue from repeat clients.</w:t>
      </w:r>
    </w:p>
    <w:p>
      <w:pPr>
        <w:numPr>
          <w:ilvl w:val="0"/>
          <w:numId w:val="1005"/>
        </w:numPr>
        <w:pStyle w:val="Compact"/>
      </w:pPr>
      <w:r>
        <w:rPr>
          <w:bCs/>
          <w:b/>
        </w:rPr>
        <w:t xml:space="preserve">Invest in Local Talent Pipeline:</w:t>
      </w:r>
      <w:r>
        <w:t xml:space="preserve"> </w:t>
      </w:r>
      <w:r>
        <w:t xml:space="preserve">Partner with Universidad de los Andes' Design School to establish an internship program addressing Bogotá's 22% Graphic Designer talent shortage.</w:t>
      </w:r>
    </w:p>
    <w:p>
      <w:pPr>
        <w:numPr>
          <w:ilvl w:val="0"/>
          <w:numId w:val="1005"/>
        </w:numPr>
        <w:pStyle w:val="Compact"/>
      </w:pPr>
      <w:r>
        <w:rPr>
          <w:bCs/>
          <w:b/>
        </w:rPr>
        <w:t xml:space="preserve">Serve the Digital-First SME Market:</w:t>
      </w:r>
      <w:r>
        <w:t xml:space="preserve"> </w:t>
      </w:r>
      <w:r>
        <w:t xml:space="preserve">Launch "Bogotá Brand Accelerator" package (fixed-price $1,500 social media suite) targeting new e-commerce businesses entering Bogotá's market.</w:t>
      </w:r>
    </w:p>
    <w:bookmarkEnd w:id="27"/>
    <w:bookmarkStart w:id="28" w:name="vii.-conclusion"/>
    <w:p>
      <w:pPr>
        <w:pStyle w:val="Heading2"/>
      </w:pPr>
      <w:r>
        <w:t xml:space="preserve">VII. Conclusion</w:t>
      </w:r>
    </w:p>
    <w:p>
      <w:pPr>
        <w:pStyle w:val="FirstParagraph"/>
      </w:pPr>
      <w:r>
        <w:t xml:space="preserve">The Q3 2023 Sales Report confirms that our Graphic Designer team is thriving within Colombia Bogotá's creative economy by merging global design excellence with hyper-local cultural intelligence. Our 18% revenue growth exceeds both the Colombian design market average (7.4%) and our internal target (15%). As Bogotá continues to solidify its position as Latin America's creative capital, we remain positioned to capture significant market share through culturally fluent solutions that speak directly to Colombia's diverse consumer base.</w:t>
      </w:r>
    </w:p>
    <w:p>
      <w:pPr>
        <w:pStyle w:val="BodyText"/>
      </w:pPr>
      <w:r>
        <w:t xml:space="preserve">Recommendation: Allocate 20% of Q4 marketing budget toward developing Bogotá-exclusive design resources (e.g., "Colombian Color Palette Guide") to further differentiate our Graphic Designer services in this competitive market. The continued demand for culturally relevant visual storytelling in Colombia Bogotá presents a sustainable revenue stream that will drive long-term business growth.</w:t>
      </w:r>
    </w:p>
    <w:p>
      <w:pPr>
        <w:pStyle w:val="BodyText"/>
      </w:pPr>
      <w:r>
        <w:rPr>
          <w:bCs/>
          <w:b/>
        </w:rPr>
        <w:t xml:space="preserve">Prepared by:</w:t>
      </w:r>
      <w:r>
        <w:t xml:space="preserve"> </w:t>
      </w:r>
      <w:r>
        <w:t xml:space="preserve">Sales &amp; Strategy Team, Creative Studio Bogotá</w:t>
      </w:r>
      <w:r>
        <w:br/>
      </w:r>
      <w:r>
        <w:rPr>
          <w:bCs/>
          <w:b/>
        </w:rPr>
        <w:t xml:space="preserve">Contact:</w:t>
      </w:r>
      <w:r>
        <w:t xml:space="preserve"> </w:t>
      </w:r>
      <w:r>
        <w:t xml:space="preserve">sales@creativestudiobogota.co | +57 1 234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 Sales Report: Colombia Bogotá Market Analysis</dc:title>
  <dc:creator/>
  <dc:language>en</dc:language>
  <cp:keywords/>
  <dcterms:created xsi:type="dcterms:W3CDTF">2026-07-24T04:53:12Z</dcterms:created>
  <dcterms:modified xsi:type="dcterms:W3CDTF">2026-07-24T04:53:12Z</dcterms:modified>
</cp:coreProperties>
</file>

<file path=docProps/custom.xml><?xml version="1.0" encoding="utf-8"?>
<Properties xmlns="http://schemas.openxmlformats.org/officeDocument/2006/custom-properties" xmlns:vt="http://schemas.openxmlformats.org/officeDocument/2006/docPropsVTypes"/>
</file>