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Medellín,</w:t>
      </w:r>
      <w:r>
        <w:t xml:space="preserve"> </w:t>
      </w:r>
      <w:r>
        <w:t xml:space="preserve">Colombia</w:t>
      </w:r>
    </w:p>
    <w:bookmarkStart w:id="28" w:name="X8e02cd644d5b586b284ce1d2bad1dccff528c0a"/>
    <w:p>
      <w:pPr>
        <w:pStyle w:val="Heading1"/>
      </w:pPr>
      <w:r>
        <w:t xml:space="preserve">Comprehensive Sales Report: Graphic Designer Services in Medellín, Colombia</w:t>
      </w:r>
    </w:p>
    <w:bookmarkStart w:id="20" w:name="executive-summary"/>
    <w:p>
      <w:pPr>
        <w:pStyle w:val="Heading2"/>
      </w:pPr>
      <w:r>
        <w:t xml:space="preserve">Executive Summary</w:t>
      </w:r>
    </w:p>
    <w:p>
      <w:pPr>
        <w:pStyle w:val="FirstParagraph"/>
      </w:pPr>
      <w:r>
        <w:t xml:space="preserve">This Sales Report presents a detailed analysis of the graphic design services market within Medellín, Colombia during the first half of 2024. As one of Latin America's most dynamic creative hubs, Medellín has demonstrated exceptional growth in demand for professional graphic design solutions. The data confirms that our agency has achieved a 32% year-over-year revenue increase, significantly outpacing the regional average of 18%. This report underscores how strategic localization within Colombia Medellín has positioned us as a market leader for Graphic Designer services across diverse industries.</w:t>
      </w:r>
    </w:p>
    <w:bookmarkEnd w:id="20"/>
    <w:bookmarkStart w:id="21" w:name="X15b3ffad74c5087e3bf1671ba9b864686bbcfba"/>
    <w:p>
      <w:pPr>
        <w:pStyle w:val="Heading2"/>
      </w:pPr>
      <w:r>
        <w:t xml:space="preserve">Market Context: Colombia Medellín's Creative Economy</w:t>
      </w:r>
    </w:p>
    <w:p>
      <w:pPr>
        <w:pStyle w:val="FirstParagraph"/>
      </w:pPr>
      <w:r>
        <w:t xml:space="preserve">Medellín, Colombia has evolved from its industrial past into a global innovation and design capital. With over 450 active creative agencies and the highest concentration of design-focused entrepreneurs in South America (as per the 2023 Colombian Creative Industries Report), Medellín presents a uniquely fertile market for Graphic Designer professionals. The city's government investment in cultural infrastructure—such as the $15M "Medellín Creativa" initiative—has created unprecedented demand for high-quality visual communication services. Our Sales Report confirms that local businesses now allocate 27% more budget to design than in 2021, directly benefiting Graphic Designer service providers operating within Colombia Medellín.</w:t>
      </w:r>
    </w:p>
    <w:bookmarkEnd w:id="21"/>
    <w:bookmarkStart w:id="22" w:name="quarterly-sales-performance-analysis"/>
    <w:p>
      <w:pPr>
        <w:pStyle w:val="Heading2"/>
      </w:pPr>
      <w:r>
        <w:t xml:space="preserve">Quarterly Sales Performance Analysis</w:t>
      </w:r>
    </w:p>
    <w:p>
      <w:pPr>
        <w:pStyle w:val="FirstParagraph"/>
      </w:pPr>
      <w:r>
        <w:rPr>
          <w:bCs/>
          <w:b/>
        </w:rPr>
        <w:t xml:space="preserve">Q1-Q2 2024 Financial Highlights:</w:t>
      </w:r>
    </w:p>
    <w:p>
      <w:pPr>
        <w:numPr>
          <w:ilvl w:val="0"/>
          <w:numId w:val="1001"/>
        </w:numPr>
        <w:pStyle w:val="Compact"/>
      </w:pPr>
      <w:r>
        <w:rPr>
          <w:bCs/>
          <w:b/>
        </w:rPr>
        <w:t xml:space="preserve">Revenue Growth:</w:t>
      </w:r>
      <w:r>
        <w:t xml:space="preserve"> </w:t>
      </w:r>
      <w:r>
        <w:t xml:space="preserve">$385,000 (vs. $291,700 in H1 2023) - +32% YoY</w:t>
      </w:r>
    </w:p>
    <w:p>
      <w:pPr>
        <w:numPr>
          <w:ilvl w:val="0"/>
          <w:numId w:val="1001"/>
        </w:numPr>
        <w:pStyle w:val="Compact"/>
      </w:pPr>
      <w:r>
        <w:rPr>
          <w:bCs/>
          <w:b/>
        </w:rPr>
        <w:t xml:space="preserve">New Client Acquisition:</w:t>
      </w:r>
      <w:r>
        <w:t xml:space="preserve"> </w:t>
      </w:r>
      <w:r>
        <w:t xml:space="preserve">47 new accounts (up 29% from last year)</w:t>
      </w:r>
    </w:p>
    <w:p>
      <w:pPr>
        <w:numPr>
          <w:ilvl w:val="0"/>
          <w:numId w:val="1001"/>
        </w:numPr>
        <w:pStyle w:val="Compact"/>
      </w:pPr>
      <w:r>
        <w:rPr>
          <w:bCs/>
          <w:b/>
        </w:rPr>
        <w:t xml:space="preserve">Client Retention Rate:</w:t>
      </w:r>
      <w:r>
        <w:t xml:space="preserve"> </w:t>
      </w:r>
      <w:r>
        <w:t xml:space="preserve">89% (exceeding industry benchmark of 75%)</w:t>
      </w:r>
    </w:p>
    <w:p>
      <w:pPr>
        <w:numPr>
          <w:ilvl w:val="0"/>
          <w:numId w:val="1001"/>
        </w:numPr>
        <w:pStyle w:val="Compact"/>
      </w:pPr>
      <w:r>
        <w:rPr>
          <w:bCs/>
          <w:b/>
        </w:rPr>
        <w:t xml:space="preserve">Avg. Deal Size:</w:t>
      </w:r>
      <w:r>
        <w:t xml:space="preserve"> </w:t>
      </w:r>
      <w:r>
        <w:t xml:space="preserve">$6,400 (up from $5,100 in H1 2023)</w:t>
      </w:r>
    </w:p>
    <w:p>
      <w:pPr>
        <w:pStyle w:val="FirstParagraph"/>
      </w:pPr>
      <w:r>
        <w:t xml:space="preserve">The most significant growth occurred in the e-commerce sector (42% of new business), driven by Medellín's booming digital retail ecosystem. Notably, 68% of our clients are local startups and SMEs seeking to establish visual identities for international expansion—exemplifying how Colombia Medellín has become a launchpad for globally competitive brands.</w:t>
      </w:r>
    </w:p>
    <w:bookmarkEnd w:id="22"/>
    <w:bookmarkStart w:id="23" w:name="client-portfolio-industry-breakdown"/>
    <w:p>
      <w:pPr>
        <w:pStyle w:val="Heading2"/>
      </w:pPr>
      <w:r>
        <w:t xml:space="preserve">Client Portfolio &amp; Industry Breakdown</w:t>
      </w:r>
    </w:p>
    <w:p>
      <w:pPr>
        <w:pStyle w:val="FirstParagraph"/>
      </w:pPr>
      <w:r>
        <w:t xml:space="preserve">Industry Sector</w:t>
      </w:r>
    </w:p>
    <w:p>
      <w:pPr>
        <w:pStyle w:val="BodyText"/>
      </w:pPr>
      <w:r>
        <w:t xml:space="preserve">% of Total Clients</w:t>
      </w:r>
    </w:p>
    <w:p>
      <w:pPr>
        <w:pStyle w:val="BodyText"/>
      </w:pPr>
      <w:r>
        <w:t xml:space="preserve">Growth Rate (YoY)</w:t>
      </w:r>
    </w:p>
    <w:p>
      <w:pPr>
        <w:pStyle w:val="BodyText"/>
      </w:pPr>
      <w:r>
        <w:t xml:space="preserve">Key Projects in Medellín</w:t>
      </w:r>
    </w:p>
    <w:p>
      <w:pPr>
        <w:pStyle w:val="BodyText"/>
      </w:pPr>
      <w:r>
        <w:t xml:space="preserve">Retail &amp; E-commerce</w:t>
      </w:r>
    </w:p>
    <w:p>
      <w:pPr>
        <w:pStyle w:val="BodyText"/>
      </w:pPr>
      <w:r>
        <w:t xml:space="preserve">38%</w:t>
      </w:r>
    </w:p>
    <w:p>
      <w:pPr>
        <w:pStyle w:val="BodyText"/>
      </w:pPr>
      <w:r>
        <w:t xml:space="preserve">42%</w:t>
      </w:r>
    </w:p>
    <w:p>
      <w:pPr>
        <w:pStyle w:val="BodyText"/>
      </w:pPr>
      <w:r>
        <w:t xml:space="preserve">Casa de la Plata (furniture brand), Canela Coffee (digital packaging)</w:t>
      </w:r>
    </w:p>
    <w:p>
      <w:pPr>
        <w:pStyle w:val="BodyText"/>
      </w:pPr>
      <w:r>
        <w:t xml:space="preserve">Tourism &amp; Hospitality</w:t>
      </w:r>
    </w:p>
    <w:p>
      <w:pPr>
        <w:pStyle w:val="BodyText"/>
      </w:pPr>
      <w:r>
        <w:t xml:space="preserve">22%35%</w:t>
      </w:r>
    </w:p>
    <w:p>
      <w:pPr>
        <w:pStyle w:val="BodyText"/>
      </w:pPr>
      <w:r>
        <w:t xml:space="preserve">Our Medellín-based Graphic Designer team achieved remarkable success with tourism clients—creating the visual identity for "Medellín Adventure Tours," which now attracts 18,000+ monthly visitors through its Instagram campaigns. In Colombia Medellín, we've observed that culturally resonant designs (incorporating local motifs like *música vallenata* patterns and Andean landscapes) drive 53% higher engagement than generic corporate styles.</w:t>
      </w:r>
    </w:p>
    <w:bookmarkEnd w:id="23"/>
    <w:bookmarkStart w:id="24" w:name="Xac7946871d47957e5a50c428236cbbf8960bf8f"/>
    <w:p>
      <w:pPr>
        <w:pStyle w:val="Heading2"/>
      </w:pPr>
      <w:r>
        <w:t xml:space="preserve">Strategic Differentiation in Colombia Medellín</w:t>
      </w:r>
    </w:p>
    <w:p>
      <w:pPr>
        <w:pStyle w:val="FirstParagraph"/>
      </w:pPr>
      <w:r>
        <w:t xml:space="preserve">What sets our Graphic Designer services apart in Colombia Medellín is our hyper-localized approach. While international agencies offer standardized solutions, we've invested in:</w:t>
      </w:r>
    </w:p>
    <w:p>
      <w:pPr>
        <w:numPr>
          <w:ilvl w:val="0"/>
          <w:numId w:val="1002"/>
        </w:numPr>
        <w:pStyle w:val="Compact"/>
      </w:pPr>
      <w:r>
        <w:rPr>
          <w:bCs/>
          <w:b/>
        </w:rPr>
        <w:t xml:space="preserve">Cultural Intelligence Units:</w:t>
      </w:r>
      <w:r>
        <w:t xml:space="preserve"> </w:t>
      </w:r>
      <w:r>
        <w:t xml:space="preserve">Teams trained in Medellín's socio-cultural nuances (e.g., understanding that "familismo" influences branding decisions)</w:t>
      </w:r>
    </w:p>
    <w:p>
      <w:pPr>
        <w:numPr>
          <w:ilvl w:val="0"/>
          <w:numId w:val="1002"/>
        </w:numPr>
        <w:pStyle w:val="Compact"/>
      </w:pPr>
      <w:r>
        <w:rPr>
          <w:bCs/>
          <w:b/>
        </w:rPr>
        <w:t xml:space="preserve">Community-Centric Delivery:</w:t>
      </w:r>
      <w:r>
        <w:t xml:space="preserve"> </w:t>
      </w:r>
      <w:r>
        <w:t xml:space="preserve">73% of client meetings occur in neighborhood cafés like Café de la Música (El Poblado), not corporate offices</w:t>
      </w:r>
    </w:p>
    <w:p>
      <w:pPr>
        <w:numPr>
          <w:ilvl w:val="0"/>
          <w:numId w:val="1002"/>
        </w:numPr>
        <w:pStyle w:val="Compact"/>
      </w:pPr>
      <w:r>
        <w:rPr>
          <w:bCs/>
          <w:b/>
        </w:rPr>
        <w:t xml:space="preserve">Sustainability Integration:</w:t>
      </w:r>
      <w:r>
        <w:t xml:space="preserve"> </w:t>
      </w:r>
      <w:r>
        <w:t xml:space="preserve">All print projects use certified Colombian recycled paper—addressing Medellín's 87% eco-conscious consumer base (per Medellín City Sustainability Survey)</w:t>
      </w:r>
    </w:p>
    <w:bookmarkEnd w:id="24"/>
    <w:bookmarkStart w:id="25" w:name="overcoming-market-challenges"/>
    <w:p>
      <w:pPr>
        <w:pStyle w:val="Heading2"/>
      </w:pPr>
      <w:r>
        <w:t xml:space="preserve">Overcoming Market Challenges</w:t>
      </w:r>
    </w:p>
    <w:p>
      <w:pPr>
        <w:pStyle w:val="FirstParagraph"/>
      </w:pPr>
      <w:r>
        <w:t xml:space="preserve">The Sales Report identifies two primary challenges in Colombia Medellín and our successful mitigation strategies:</w:t>
      </w:r>
    </w:p>
    <w:p>
      <w:pPr>
        <w:numPr>
          <w:ilvl w:val="0"/>
          <w:numId w:val="1003"/>
        </w:numPr>
        <w:pStyle w:val="Compact"/>
      </w:pPr>
      <w:r>
        <w:rPr>
          <w:bCs/>
          <w:b/>
        </w:rPr>
        <w:t xml:space="preserve">Price Sensitivity:</w:t>
      </w:r>
      <w:r>
        <w:t xml:space="preserve"> </w:t>
      </w:r>
      <w:r>
        <w:t xml:space="preserve">Local businesses historically undervalued design. We countered with "Design ROI" workshops showing 4.7x average revenue lift from professional branding (validated through case studies like "Café de la Música's 30% sales increase post-rebrand").</w:t>
      </w:r>
    </w:p>
    <w:p>
      <w:pPr>
        <w:numPr>
          <w:ilvl w:val="0"/>
          <w:numId w:val="1003"/>
        </w:numPr>
        <w:pStyle w:val="Compact"/>
      </w:pPr>
      <w:r>
        <w:rPr>
          <w:bCs/>
          <w:b/>
        </w:rPr>
        <w:t xml:space="preserve">Talent Retention:</w:t>
      </w:r>
      <w:r>
        <w:t xml:space="preserve"> </w:t>
      </w:r>
      <w:r>
        <w:t xml:space="preserve">High competition for designers in Medellín. Our solution: "Creative Equity" program offering profit-sharing to senior Graphic Designer staff, reducing turnover to 8% (vs. 24% industry average).</w:t>
      </w:r>
    </w:p>
    <w:bookmarkEnd w:id="25"/>
    <w:bookmarkStart w:id="26" w:name="future-growth-strategy"/>
    <w:p>
      <w:pPr>
        <w:pStyle w:val="Heading2"/>
      </w:pPr>
      <w:r>
        <w:t xml:space="preserve">Future Growth Strategy</w:t>
      </w:r>
    </w:p>
    <w:p>
      <w:pPr>
        <w:pStyle w:val="FirstParagraph"/>
      </w:pPr>
      <w:r>
        <w:t xml:space="preserve">Based on our Sales Report analysis, we are implementing three initiatives targeting Colombia Medellín's market trajectory:</w:t>
      </w:r>
    </w:p>
    <w:p>
      <w:pPr>
        <w:numPr>
          <w:ilvl w:val="0"/>
          <w:numId w:val="1004"/>
        </w:numPr>
        <w:pStyle w:val="Compact"/>
      </w:pPr>
      <w:r>
        <w:rPr>
          <w:bCs/>
          <w:b/>
        </w:rPr>
        <w:t xml:space="preserve">Medellín Design Accelerator:</w:t>
      </w:r>
      <w:r>
        <w:t xml:space="preserve"> </w:t>
      </w:r>
      <w:r>
        <w:t xml:space="preserve">Partnering with Antioquia Innovation Center to offer subsidized branding for startups (projected 200+ new clients by Q4 2024)</w:t>
      </w:r>
    </w:p>
    <w:p>
      <w:pPr>
        <w:numPr>
          <w:ilvl w:val="0"/>
          <w:numId w:val="1004"/>
        </w:numPr>
        <w:pStyle w:val="Compact"/>
      </w:pPr>
      <w:r>
        <w:rPr>
          <w:bCs/>
          <w:b/>
        </w:rPr>
        <w:t xml:space="preserve">Digital-First Packaging:</w:t>
      </w:r>
      <w:r>
        <w:t xml:space="preserve"> </w:t>
      </w:r>
      <w:r>
        <w:t xml:space="preserve">Developing AR-enabled packaging solutions for local food brands—addressing Medellín's $1.7B food export market</w:t>
      </w:r>
    </w:p>
    <w:bookmarkEnd w:id="26"/>
    <w:bookmarkStart w:id="27" w:name="Xc399664f289bf5ec855858ab7722c2c618724c2"/>
    <w:p>
      <w:pPr>
        <w:pStyle w:val="Heading2"/>
      </w:pPr>
      <w:r>
        <w:t xml:space="preserve">Conclusion: The Future of Graphic Designer Services in Colombia Medellín</w:t>
      </w:r>
    </w:p>
    <w:p>
      <w:pPr>
        <w:pStyle w:val="FirstParagraph"/>
      </w:pPr>
      <w:r>
        <w:t xml:space="preserve">This Sales Report confirms that Medellín, Colombia is not merely a market but a creative ecosystem where strategic localization drives exceptional growth. Our agency's 32% revenue surge demonstrates that when Graphic Designer services align with Medellín's unique cultural fabric—leveraging the city's innovation spirit and community values—they achieve transformative results. As we continue to deepen our roots in Colombia Medellín, we're not just selling design; we're empowering local businesses to tell their authentic stories globally.</w:t>
      </w:r>
    </w:p>
    <w:p>
      <w:pPr>
        <w:pStyle w:val="BodyText"/>
      </w:pPr>
      <w:r>
        <w:t xml:space="preserve">Looking ahead, our strategic focus remains on scaling within Medellín while setting new benchmarks for Graphic Designer excellence across Latin America. The data is clear: In the vibrant landscape of Colombia Medellín, where creativity is both cultural identity and economic catalyst, professional design services have moved from luxury to essential business infrastructure.</w:t>
      </w:r>
    </w:p>
    <w:p>
      <w:pPr>
        <w:pStyle w:val="BodyText"/>
      </w:pPr>
      <w:r>
        <w:rPr>
          <w:iCs/>
          <w:i/>
        </w:rPr>
        <w:t xml:space="preserve">Prepared by: Medellín Creative Group Sales Analytics Team</w:t>
      </w:r>
      <w:r>
        <w:br/>
      </w:r>
      <w:r>
        <w:rPr>
          <w:iCs/>
          <w:i/>
        </w:rPr>
        <w:t xml:space="preserve">Date: July 15, 2024 | For Internal Strategic Planning in Colombia Medellín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Medellín, Colombia</dc:title>
  <dc:creator/>
  <dc:language>en</dc:language>
  <cp:keywords/>
  <dcterms:created xsi:type="dcterms:W3CDTF">2026-07-24T04:54:30Z</dcterms:created>
  <dcterms:modified xsi:type="dcterms:W3CDTF">2026-07-24T04:54:30Z</dcterms:modified>
</cp:coreProperties>
</file>

<file path=docProps/custom.xml><?xml version="1.0" encoding="utf-8"?>
<Properties xmlns="http://schemas.openxmlformats.org/officeDocument/2006/custom-properties" xmlns:vt="http://schemas.openxmlformats.org/officeDocument/2006/docPropsVTypes"/>
</file>