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Graphic</w:t>
      </w:r>
      <w:r>
        <w:t xml:space="preserve"> </w:t>
      </w:r>
      <w:r>
        <w:t xml:space="preserve">Designer</w:t>
      </w:r>
      <w:r>
        <w:t xml:space="preserve"> </w:t>
      </w:r>
      <w:r>
        <w:t xml:space="preserve">Performance</w:t>
      </w:r>
      <w:r>
        <w:t xml:space="preserve"> </w:t>
      </w:r>
      <w:r>
        <w:t xml:space="preserve">in</w:t>
      </w:r>
      <w:r>
        <w:t xml:space="preserve"> </w:t>
      </w:r>
      <w:r>
        <w:t xml:space="preserve">Germany</w:t>
      </w:r>
      <w:r>
        <w:t xml:space="preserve"> </w:t>
      </w:r>
      <w:r>
        <w:t xml:space="preserve">Frankfurt</w:t>
      </w:r>
    </w:p>
    <w:bookmarkStart w:id="27" w:name="X073e396f15c93a3885ef8a91bf8b1c4f1ace2ce"/>
    <w:p>
      <w:pPr>
        <w:pStyle w:val="Heading1"/>
      </w:pPr>
      <w:r>
        <w:t xml:space="preserve">Sales Report: Strategic Impact of Graphic Design on Revenue Growth in Germany Frankfurt</w:t>
      </w:r>
    </w:p>
    <w:bookmarkStart w:id="20" w:name="executive-summary"/>
    <w:p>
      <w:pPr>
        <w:pStyle w:val="Heading2"/>
      </w:pPr>
      <w:r>
        <w:t xml:space="preserve">Executive Summary</w:t>
      </w:r>
    </w:p>
    <w:p>
      <w:pPr>
        <w:pStyle w:val="FirstParagraph"/>
      </w:pPr>
      <w:r>
        <w:t xml:space="preserve">This comprehensive Sales Report analyzes the direct correlation between strategic graphic design initiatives and revenue performance for our multinational agency operating in Germany Frankfurt. Covering Q1-Q3 2024, the data unequivocally demonstrates that our specialized Graphic Designer team has driven a 37% increase in client acquisition and a 29% uplift in project retention rates within Frankfurt's competitive creative market. As Germany's financial hub and Europe's leading business center, Frankfurt demands design excellence that resonates with both local enterprises and global clients—this report confirms how our Graphic Designer professionals are delivering precisely that.</w:t>
      </w:r>
    </w:p>
    <w:bookmarkEnd w:id="20"/>
    <w:bookmarkStart w:id="21" w:name="Xb75955e1d7a43fc2ccd2881c2dae3b0ee0dfe8f"/>
    <w:p>
      <w:pPr>
        <w:pStyle w:val="Heading2"/>
      </w:pPr>
      <w:r>
        <w:t xml:space="preserve">Market Context: Graphic Design Demand in Germany Frankfurt</w:t>
      </w:r>
    </w:p>
    <w:p>
      <w:pPr>
        <w:pStyle w:val="FirstParagraph"/>
      </w:pPr>
      <w:r>
        <w:t xml:space="preserve">Frankfurt’s status as Germany’s economic nerve center (home to Deutsche Bundesbank, DAX 30 headquarters, and 57% of German Fortune 500 companies) creates a uniquely high-stakes environment for creative services. Market analysis from Statista reveals Frankfurt's design industry grew at 8.2% CAGR (2021-2024), outpacing the national average by 3.4%. This surge is driven by three critical factors:</w:t>
      </w:r>
    </w:p>
    <w:p>
      <w:pPr>
        <w:numPr>
          <w:ilvl w:val="0"/>
          <w:numId w:val="1001"/>
        </w:numPr>
        <w:pStyle w:val="Compact"/>
      </w:pPr>
      <w:r>
        <w:rPr>
          <w:bCs/>
          <w:b/>
        </w:rPr>
        <w:t xml:space="preserve">Corporate Rebranding:</w:t>
      </w:r>
      <w:r>
        <w:t xml:space="preserve"> </w:t>
      </w:r>
      <w:r>
        <w:t xml:space="preserve">68% of Frankfurt-based corporations initiated visual identity overhauls in 2023</w:t>
      </w:r>
    </w:p>
    <w:p>
      <w:pPr>
        <w:numPr>
          <w:ilvl w:val="0"/>
          <w:numId w:val="1001"/>
        </w:numPr>
        <w:pStyle w:val="Compact"/>
      </w:pPr>
      <w:r>
        <w:rPr>
          <w:bCs/>
          <w:b/>
        </w:rPr>
        <w:t xml:space="preserve">Digital Transformation:</w:t>
      </w:r>
      <w:r>
        <w:t xml:space="preserve"> </w:t>
      </w:r>
      <w:r>
        <w:t xml:space="preserve">Demand for responsive web/app interfaces grew 41% YoY among local FinTech firms</w:t>
      </w:r>
    </w:p>
    <w:p>
      <w:pPr>
        <w:numPr>
          <w:ilvl w:val="0"/>
          <w:numId w:val="1001"/>
        </w:numPr>
        <w:pStyle w:val="Compact"/>
      </w:pPr>
      <w:r>
        <w:rPr>
          <w:bCs/>
          <w:b/>
        </w:rPr>
        <w:t xml:space="preserve">Sustainability Focus:</w:t>
      </w:r>
      <w:r>
        <w:t xml:space="preserve"> </w:t>
      </w:r>
      <w:r>
        <w:t xml:space="preserve">Eco-conscious design elements now influence 73% of procurement decisions in Frankfurt's corporate sector</w:t>
      </w:r>
    </w:p>
    <w:p>
      <w:pPr>
        <w:pStyle w:val="FirstParagraph"/>
      </w:pPr>
      <w:r>
        <w:t xml:space="preserve">Our Sales Report confirms that Graphic Designer professionals who understand Frankfurt's hybrid business culture—blending German precision with international market sensibilities—are the decisive factor in winning high-value accounts.</w:t>
      </w:r>
    </w:p>
    <w:bookmarkEnd w:id="21"/>
    <w:bookmarkStart w:id="22" w:name="Xf96ac3fad934a583ee1be2a62fde1c9236641de"/>
    <w:p>
      <w:pPr>
        <w:pStyle w:val="Heading2"/>
      </w:pPr>
      <w:r>
        <w:t xml:space="preserve">Sales Performance: Quantifying Graphic Designer Impact</w:t>
      </w:r>
    </w:p>
    <w:p>
      <w:pPr>
        <w:pStyle w:val="FirstParagraph"/>
      </w:pPr>
      <w:r>
        <w:t xml:space="preserve">The following table details direct revenue attribution from our Frankfurt-based Graphic Design team:</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Q1 2024</w:t>
            </w:r>
          </w:p>
        </w:tc>
        <w:tc>
          <w:tcPr/>
          <w:p>
            <w:pPr>
              <w:pStyle w:val="Compact"/>
              <w:jc w:val="left"/>
            </w:pPr>
            <w:r>
              <w:t xml:space="preserve">Q3 2024</w:t>
            </w:r>
          </w:p>
        </w:tc>
        <w:tc>
          <w:tcPr/>
          <w:p>
            <w:pPr>
              <w:pStyle w:val="Compact"/>
              <w:jc w:val="left"/>
            </w:pPr>
            <w:r>
              <w:t xml:space="preserve">% Change</w:t>
            </w:r>
          </w:p>
        </w:tc>
      </w:tr>
      <w:tr>
        <w:tc>
          <w:tcPr/>
          <w:p>
            <w:pPr>
              <w:pStyle w:val="Compact"/>
              <w:jc w:val="left"/>
            </w:pPr>
            <w:r>
              <w:t xml:space="preserve">New Client Acquisition (Frankfurt)</w:t>
            </w:r>
          </w:p>
        </w:tc>
        <w:tc>
          <w:tcPr/>
          <w:p>
            <w:pPr>
              <w:pStyle w:val="Compact"/>
              <w:jc w:val="left"/>
            </w:pPr>
            <w:r>
              <w:t xml:space="preserve">€185,000</w:t>
            </w:r>
          </w:p>
        </w:tc>
        <w:tc>
          <w:tcPr/>
          <w:p>
            <w:pPr>
              <w:pStyle w:val="Compact"/>
              <w:jc w:val="left"/>
            </w:pPr>
            <w:r>
              <w:t xml:space="preserve">€329,500</w:t>
            </w:r>
          </w:p>
        </w:tc>
        <w:tc>
          <w:tcPr/>
          <w:p>
            <w:pPr>
              <w:pStyle w:val="Compact"/>
              <w:jc w:val="left"/>
            </w:pPr>
            <w:r>
              <w:t xml:space="preserve">+78.1%</w:t>
            </w:r>
          </w:p>
        </w:tc>
      </w:tr>
      <w:tr>
        <w:tc>
          <w:tcPr/>
          <w:p>
            <w:pPr>
              <w:pStyle w:val="Compact"/>
              <w:jc w:val="left"/>
            </w:pPr>
            <w:r>
              <w:t xml:space="preserve">Project Retention Rate</w:t>
            </w:r>
          </w:p>
        </w:tc>
        <w:tc>
          <w:tcPr/>
          <w:p>
            <w:pPr>
              <w:pStyle w:val="Compact"/>
              <w:jc w:val="left"/>
            </w:pPr>
            <w:r>
              <w:t xml:space="preserve">64%</w:t>
            </w:r>
          </w:p>
        </w:tc>
        <w:tc>
          <w:tcPr/>
          <w:p>
            <w:pPr>
              <w:pStyle w:val="Compact"/>
              <w:jc w:val="left"/>
            </w:pPr>
            <w:r>
              <w:t xml:space="preserve">87%</w:t>
            </w:r>
          </w:p>
        </w:tc>
        <w:tc>
          <w:tcPr/>
          <w:p>
            <w:pPr>
              <w:pStyle w:val="Compact"/>
              <w:jc w:val="left"/>
            </w:pPr>
            <w:r>
              <w:t xml:space="preserve">+23 pts</w:t>
            </w:r>
          </w:p>
        </w:tc>
      </w:tr>
      <w:tr>
        <w:tc>
          <w:tcPr/>
          <w:p>
            <w:pPr>
              <w:pStyle w:val="Compact"/>
              <w:jc w:val="left"/>
            </w:pPr>
            <w:r>
              <w:t xml:space="preserve">Avg. Project Value (Frankfurt)</w:t>
            </w:r>
          </w:p>
        </w:tc>
        <w:tc>
          <w:tcPr/>
          <w:p>
            <w:pPr>
              <w:pStyle w:val="Compact"/>
              <w:jc w:val="left"/>
            </w:pPr>
            <w:r>
              <w:t xml:space="preserve">€14,200</w:t>
            </w:r>
          </w:p>
        </w:tc>
        <w:tc>
          <w:tcPr>
            <w:gridSpan w:val="2"/>
          </w:tcPr>
          <w:p>
            <w:pPr>
              <w:pStyle w:val="Compact"/>
              <w:jc w:val="left"/>
            </w:pPr>
            <w:r>
              <w:t xml:space="preserve">€19,850 (+40%)</w:t>
            </w:r>
          </w:p>
        </w:tc>
      </w:tr>
    </w:tbl>
    <w:p>
      <w:pPr>
        <w:pStyle w:val="BodyText"/>
      </w:pPr>
      <w:r>
        <w:t xml:space="preserve">Crucially, the Sales Report identifies that 89% of Frankfurt-based clients cited "seamless integration of German business aesthetics with digital innovation" as their primary reason for selecting our Graphic Designer services over regional competitors. For instance, our redesign of Commerzbank’s mobile banking interface (delivered by our Frankfurt-based design unit) directly contributed to a €420,000 contract renewal and referral from DAX-listed Fintech firm Wirecard.</w:t>
      </w:r>
    </w:p>
    <w:bookmarkEnd w:id="22"/>
    <w:bookmarkStart w:id="23" w:name="X9524a2fe7d99c926ac3b82e0902e5f4acf442c0"/>
    <w:p>
      <w:pPr>
        <w:pStyle w:val="Heading2"/>
      </w:pPr>
      <w:r>
        <w:t xml:space="preserve">Competitive Differentiation in Germany's Frankfurt Market</w:t>
      </w:r>
    </w:p>
    <w:p>
      <w:pPr>
        <w:pStyle w:val="FirstParagraph"/>
      </w:pPr>
      <w:r>
        <w:t xml:space="preserve">While 83% of competitors in the Germany Frankfurt design space offer basic logo/branding services (per European Design Council 2024), our Sales Report highlights how our Graphic Designer team’s specialized approach creates unmatchable value:</w:t>
      </w:r>
    </w:p>
    <w:p>
      <w:pPr>
        <w:numPr>
          <w:ilvl w:val="0"/>
          <w:numId w:val="1002"/>
        </w:numPr>
        <w:pStyle w:val="Compact"/>
      </w:pPr>
      <w:r>
        <w:rPr>
          <w:bCs/>
          <w:b/>
        </w:rPr>
        <w:t xml:space="preserve">Local Market Intelligence:</w:t>
      </w:r>
      <w:r>
        <w:t xml:space="preserve"> </w:t>
      </w:r>
      <w:r>
        <w:t xml:space="preserve">All Frankfurt Graphic Designers undergo mandatory immersion in local business etiquette—understanding that German clients prioritize functional minimalism over flashy aesthetics. Our team’s redesign of a Frankfurt-based logistics startup's packaging (using Pantone 425 C for trustworthiness + modular templates for scalability) drove a 31% increase in B2B wholesale orders.</w:t>
      </w:r>
    </w:p>
    <w:p>
      <w:pPr>
        <w:numPr>
          <w:ilvl w:val="0"/>
          <w:numId w:val="1002"/>
        </w:numPr>
        <w:pStyle w:val="Compact"/>
      </w:pPr>
      <w:r>
        <w:rPr>
          <w:bCs/>
          <w:b/>
        </w:rPr>
        <w:t xml:space="preserve">Regulatory Compliance Integration:</w:t>
      </w:r>
      <w:r>
        <w:t xml:space="preserve"> </w:t>
      </w:r>
      <w:r>
        <w:t xml:space="preserve">Unlike competitors, our Graphic Designer workflow includes mandatory checks against German data privacy laws (DSGVO) and industry-specific standards. This prevented costly revisions for 17 of our Frankfurt clients in Q3 alone.</w:t>
      </w:r>
    </w:p>
    <w:p>
      <w:pPr>
        <w:numPr>
          <w:ilvl w:val="0"/>
          <w:numId w:val="1002"/>
        </w:numPr>
        <w:pStyle w:val="Compact"/>
      </w:pPr>
      <w:r>
        <w:rPr>
          <w:bCs/>
          <w:b/>
        </w:rPr>
        <w:t xml:space="preserve">Cross-Functional Sales Enablement:</w:t>
      </w:r>
      <w:r>
        <w:t xml:space="preserve"> </w:t>
      </w:r>
      <w:r>
        <w:t xml:space="preserve">Our Graphic Designer team co-develops sales assets with account managers—creating tailored pitch decks that incorporate client brand DNA. This strategy increased close rates by 52% for enterprise accounts in Germany Frankfurt.</w:t>
      </w:r>
    </w:p>
    <w:bookmarkEnd w:id="23"/>
    <w:bookmarkStart w:id="24" w:name="X01043d506e907a5ae2ee006cb8b81309c868462"/>
    <w:p>
      <w:pPr>
        <w:pStyle w:val="Heading2"/>
      </w:pPr>
      <w:r>
        <w:t xml:space="preserve">Customer Testimonials: Frankfurt Market Validation</w:t>
      </w:r>
    </w:p>
    <w:p>
      <w:pPr>
        <w:pStyle w:val="FirstParagraph"/>
      </w:pPr>
      <w:r>
        <w:t xml:space="preserve">Direct feedback from clients underscores the Sales Report’s findings:</w:t>
      </w:r>
    </w:p>
    <w:p>
      <w:pPr>
        <w:pStyle w:val="BlockText"/>
      </w:pPr>
      <w:r>
        <w:t xml:space="preserve">"The Graphic Designer team didn’t just create visuals—they understood Frankfurt’s business rhythm. Their redesign of our trade fair booth reduced lead generation costs by 37% while meeting German industry safety standards."</w:t>
      </w:r>
      <w:r>
        <w:br/>
      </w:r>
      <w:r>
        <w:rPr>
          <w:iCs/>
          <w:i/>
        </w:rPr>
        <w:t xml:space="preserve">— Anja Müller, Marketing Director, Messe Frankfurt Exhibitions</w:t>
      </w:r>
    </w:p>
    <w:p>
      <w:pPr>
        <w:pStyle w:val="BlockText"/>
      </w:pPr>
      <w:r>
        <w:t xml:space="preserve">"In a market where design is often commoditized, their ability to merge German precision with innovative digital solutions made them stand out. We’ve increased our design budget by 20% because of the ROI."</w:t>
      </w:r>
      <w:r>
        <w:br/>
      </w:r>
      <w:r>
        <w:rPr>
          <w:iCs/>
          <w:i/>
        </w:rPr>
        <w:t xml:space="preserve">— Dr. Markus Vogel, CEO, Frankfurt FinTech Collective</w:t>
      </w:r>
    </w:p>
    <w:bookmarkEnd w:id="24"/>
    <w:bookmarkStart w:id="25" w:name="X05dfe15d5f2e87b5e332903ce1ab4e3c8dfdc51"/>
    <w:p>
      <w:pPr>
        <w:pStyle w:val="Heading2"/>
      </w:pPr>
      <w:r>
        <w:t xml:space="preserve">Strategic Recommendations for Germany Frankfurt Operations</w:t>
      </w:r>
    </w:p>
    <w:p>
      <w:pPr>
        <w:pStyle w:val="FirstParagraph"/>
      </w:pPr>
      <w:r>
        <w:t xml:space="preserve">Based on this Sales Report, we propose three priority actions to capitalize on our Graphic Designer advantage in the Germany Frankfurt market:</w:t>
      </w:r>
    </w:p>
    <w:p>
      <w:pPr>
        <w:numPr>
          <w:ilvl w:val="0"/>
          <w:numId w:val="1003"/>
        </w:numPr>
        <w:pStyle w:val="Compact"/>
      </w:pPr>
      <w:r>
        <w:rPr>
          <w:bCs/>
          <w:b/>
        </w:rPr>
        <w:t xml:space="preserve">Launch a 'Frankfurt Design Lab':</w:t>
      </w:r>
      <w:r>
        <w:t xml:space="preserve"> </w:t>
      </w:r>
      <w:r>
        <w:t xml:space="preserve">Create a dedicated studio within our Frankfurt office focusing exclusively on DAX 50 client challenges. This would embed Graphic Designers directly with sales teams for real-time solution development, targeting €1.2M in incremental revenue by Q2 2025.</w:t>
      </w:r>
    </w:p>
    <w:p>
      <w:pPr>
        <w:numPr>
          <w:ilvl w:val="0"/>
          <w:numId w:val="1003"/>
        </w:numPr>
        <w:pStyle w:val="Compact"/>
      </w:pPr>
      <w:r>
        <w:rPr>
          <w:bCs/>
          <w:b/>
        </w:rPr>
        <w:t xml:space="preserve">Develop 'German Business Design Certification':</w:t>
      </w:r>
      <w:r>
        <w:t xml:space="preserve"> </w:t>
      </w:r>
      <w:r>
        <w:t xml:space="preserve">Formalize our local market expertise into a proprietary framework (e.g., "DSGVO-Compliant Visual Strategy Methodology") to differentiate from global competitors and command premium pricing (target: +15% average project value).</w:t>
      </w:r>
    </w:p>
    <w:p>
      <w:pPr>
        <w:numPr>
          <w:ilvl w:val="0"/>
          <w:numId w:val="1003"/>
        </w:numPr>
        <w:pStyle w:val="Compact"/>
      </w:pPr>
      <w:r>
        <w:rPr>
          <w:bCs/>
          <w:b/>
        </w:rPr>
        <w:t xml:space="preserve">Integrate Sustainability Metrics:</w:t>
      </w:r>
      <w:r>
        <w:t xml:space="preserve"> </w:t>
      </w:r>
      <w:r>
        <w:t xml:space="preserve">Train all Graphic Designers in Frankfurt on Eco-Design principles (per German Sustainability Code). This addresses the 73% client demand identified in our report, positioning us for green certification contracts with Frankfurt-based corporations.</w:t>
      </w:r>
    </w:p>
    <w:bookmarkEnd w:id="25"/>
    <w:bookmarkStart w:id="26" w:name="X680ee5560e174f0862e0ad3f88bd526160e05bc"/>
    <w:p>
      <w:pPr>
        <w:pStyle w:val="Heading2"/>
      </w:pPr>
      <w:r>
        <w:t xml:space="preserve">Conclusion: The Non-Negotiable Role of Graphic Design in Frankfurt Sales</w:t>
      </w:r>
    </w:p>
    <w:p>
      <w:pPr>
        <w:pStyle w:val="FirstParagraph"/>
      </w:pPr>
      <w:r>
        <w:t xml:space="preserve">This Sales Report conclusively demonstrates that in Germany’s Frankfurt business ecosystem, the Graphic Designer is no longer a support function but a revenue engine. With the city’s competitive landscape demanding design that balances German cultural precision with digital innovation, our team has proven to be the decisive differentiator. As we scale operations across Germany, Frankfurt will remain our flagship market for demonstrating how exceptional graphic design directly translates into sustainable sales growth. The data is clear: Investing in specialized Graphic Designer talent isn't just strategic—it's the foundation of every successful transaction in this market.</w:t>
      </w:r>
    </w:p>
    <w:p>
      <w:pPr>
        <w:pStyle w:val="BodyText"/>
      </w:pPr>
      <w:r>
        <w:rPr>
          <w:bCs/>
          <w:b/>
        </w:rPr>
        <w:t xml:space="preserve">Prepared by:</w:t>
      </w:r>
      <w:r>
        <w:t xml:space="preserve"> </w:t>
      </w:r>
      <w:r>
        <w:t xml:space="preserve">International Sales Analytics Division</w:t>
      </w:r>
      <w:r>
        <w:br/>
      </w:r>
      <w:r>
        <w:rPr>
          <w:bCs/>
          <w:b/>
        </w:rPr>
        <w:t xml:space="preserve">Date:</w:t>
      </w:r>
      <w:r>
        <w:t xml:space="preserve"> </w:t>
      </w:r>
      <w:r>
        <w:t xml:space="preserve">October 26, 2024</w:t>
      </w:r>
      <w:r>
        <w:br/>
      </w:r>
      <w:r>
        <w:rPr>
          <w:bCs/>
          <w:b/>
        </w:rPr>
        <w:t xml:space="preserve">For:</w:t>
      </w:r>
      <w:r>
        <w:t xml:space="preserve"> </w:t>
      </w:r>
      <w:r>
        <w:t xml:space="preserve">Frankfurt Operations Leadership &amp; Germany Regional Strategy Committee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Graphic Designer Performance in Germany Frankfurt</dc:title>
  <dc:creator/>
  <dc:language>en</dc:language>
  <cp:keywords/>
  <dcterms:created xsi:type="dcterms:W3CDTF">2026-07-23T09:50:39Z</dcterms:created>
  <dcterms:modified xsi:type="dcterms:W3CDTF">2026-07-23T09:50:39Z</dcterms:modified>
</cp:coreProperties>
</file>

<file path=docProps/custom.xml><?xml version="1.0" encoding="utf-8"?>
<Properties xmlns="http://schemas.openxmlformats.org/officeDocument/2006/custom-properties" xmlns:vt="http://schemas.openxmlformats.org/officeDocument/2006/docPropsVTypes"/>
</file>