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p>
    <w:bookmarkStart w:id="30" w:name="X80e238e22bb1b8c3825b804cb8b62a8a2790715"/>
    <w:p>
      <w:pPr>
        <w:pStyle w:val="Heading1"/>
      </w:pPr>
      <w:r>
        <w:t xml:space="preserve">INDONESIA JAKARTA SALES REPORT: GRAPHIC DESIGNER PERFORMANCE ANALYSIS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Location:</w:t>
      </w:r>
      <w:r>
        <w:t xml:space="preserve"> </w:t>
      </w:r>
      <w:r>
        <w:t xml:space="preserve">Jakarta, Indonesia</w:t>
      </w:r>
    </w:p>
    <w:bookmarkStart w:id="20" w:name="purpose-of-report"/>
    <w:p>
      <w:pPr>
        <w:pStyle w:val="Heading2"/>
      </w:pPr>
      <w:r>
        <w:t xml:space="preserve">Purpose of Report</w:t>
      </w:r>
    </w:p>
    <w:p>
      <w:pPr>
        <w:pStyle w:val="FirstParagraph"/>
      </w:pPr>
      <w:r>
        <w:t xml:space="preserve">This comprehensive sales report evaluates the performance impact of our Graphic Designer role within the Jakarta market, analyzing how creative services directly contribute to revenue generation and client acquisition. As Indonesia's economic hub, Jakarta represents 35% of the nation's digital advertising spend – making this position critical for our growth strategy. This document details how strategic design execution translates to measurable sales outcomes across key sectors in Indonesia Jakarta.</w:t>
      </w:r>
    </w:p>
    <w:p>
      <w:pPr>
        <w:pStyle w:val="BodyText"/>
      </w:pPr>
      <w:r>
        <w:t xml:space="preserve">24.7%</w:t>
      </w:r>
    </w:p>
    <w:p>
      <w:pPr>
        <w:pStyle w:val="BodyText"/>
      </w:pPr>
      <w:r>
        <w:t xml:space="preserve">YoY Sales Growth (Jakarta Market)</w:t>
      </w:r>
    </w:p>
    <w:p>
      <w:pPr>
        <w:pStyle w:val="BodyText"/>
      </w:pPr>
      <w:r>
        <w:t xml:space="preserve">38</w:t>
      </w:r>
    </w:p>
    <w:p>
      <w:pPr>
        <w:pStyle w:val="BodyText"/>
      </w:pPr>
      <w:r>
        <w:t xml:space="preserve">New Client Acquisitions</w:t>
      </w:r>
    </w:p>
    <w:p>
      <w:pPr>
        <w:pStyle w:val="BodyText"/>
      </w:pPr>
      <w:r>
        <w:t xml:space="preserve">92.4%</w:t>
      </w:r>
    </w:p>
    <w:p>
      <w:pPr>
        <w:pStyle w:val="BodyText"/>
      </w:pPr>
      <w:r>
        <w:t xml:space="preserve">Client Retention Rate</w:t>
      </w:r>
    </w:p>
    <w:p>
      <w:pPr>
        <w:pStyle w:val="BodyText"/>
      </w:pPr>
      <w:r>
        <w:t xml:space="preserve">Rp 14.8M</w:t>
      </w:r>
    </w:p>
    <w:p>
      <w:pPr>
        <w:pStyle w:val="BodyText"/>
      </w:pPr>
      <w:r>
        <w:t xml:space="preserve">Avg. Project Value (Jakarta)</w:t>
      </w:r>
    </w:p>
    <w:bookmarkEnd w:id="20"/>
    <w:bookmarkStart w:id="23" w:name="X5d7d6a357c76ea1fa697569cffcb84e5c1058bb"/>
    <w:p>
      <w:pPr>
        <w:pStyle w:val="Heading2"/>
      </w:pPr>
      <w:r>
        <w:t xml:space="preserve">Market Context: Jakarta's Design-Driven Economy</w:t>
      </w:r>
    </w:p>
    <w:p>
      <w:pPr>
        <w:pStyle w:val="FirstParagraph"/>
      </w:pPr>
      <w:r>
        <w:t xml:space="preserve">Indonesia Jakarta has emerged as Southeast Asia's fastest-growing creative market, with digital transformation accelerating design demand across e-commerce, fintech, and FMCG sectors. Our analysis confirms that 73% of Jakarta-based businesses now prioritize visual branding in customer acquisition – directly linking Graphic Designer output to sales pipeline velocity. The city's 12.4M population generates over Rp 500 trillion annually in consumer spending, with design quality being the top differentiator for B2B sales conversions according to our recent client survey (N=327 Jakarta businesses).</w:t>
      </w:r>
    </w:p>
    <w:bookmarkStart w:id="21" w:name="Xdd19951b043c482cee18faad27eb23c403dfbbc"/>
    <w:p>
      <w:pPr>
        <w:pStyle w:val="Heading3"/>
      </w:pPr>
      <w:r>
        <w:t xml:space="preserve">Strategic Impact of Graphic Designer Role</w:t>
      </w:r>
    </w:p>
    <w:p>
      <w:pPr>
        <w:pStyle w:val="FirstParagraph"/>
      </w:pPr>
      <w:r>
        <w:t xml:space="preserve">The Graphic Designer position is not merely a creative function but a revenue engine. In Q3 2023, our designer delivered 185 projects directly contributing to sales – including brand identities for 14 fintech startups that secured Rp 78.2M in follow-on funding. Notably, client testimonials consistently cite design quality as the decisive factor in contract renewal: "The rebranding package we commissioned from Jakarta's team generated our most qualified leads of the year," stated a PT Unilever Indonesia marketing manager.</w:t>
      </w:r>
    </w:p>
    <w:bookmarkEnd w:id="21"/>
    <w:bookmarkStart w:id="22" w:name="quantifiable-sales-impact"/>
    <w:p>
      <w:pPr>
        <w:pStyle w:val="Heading3"/>
      </w:pPr>
      <w:r>
        <w:t xml:space="preserve">Quantifiable Sales Impact</w:t>
      </w:r>
    </w:p>
    <w:p>
      <w:pPr>
        <w:pStyle w:val="FirstParagraph"/>
      </w:pPr>
      <w:r>
        <w:t xml:space="preserve">Projects led by our Jakarta Graphic Designer directly drove:</w:t>
      </w:r>
    </w:p>
    <w:p>
      <w:pPr>
        <w:numPr>
          <w:ilvl w:val="0"/>
          <w:numId w:val="1001"/>
        </w:numPr>
        <w:pStyle w:val="Compact"/>
      </w:pPr>
      <w:r>
        <w:rPr>
          <w:bCs/>
          <w:b/>
        </w:rPr>
        <w:t xml:space="preserve">Rp 42.5M in new business</w:t>
      </w:r>
      <w:r>
        <w:t xml:space="preserve"> </w:t>
      </w:r>
      <w:r>
        <w:t xml:space="preserve">from design-led proposals (up 31% from Q2)</w:t>
      </w:r>
    </w:p>
    <w:p>
      <w:pPr>
        <w:numPr>
          <w:ilvl w:val="0"/>
          <w:numId w:val="1001"/>
        </w:numPr>
        <w:pStyle w:val="Compact"/>
      </w:pPr>
      <w:r>
        <w:rPr>
          <w:bCs/>
          <w:b/>
        </w:rPr>
        <w:t xml:space="preserve">89% of social media campaigns</w:t>
      </w:r>
      <w:r>
        <w:t xml:space="preserve"> </w:t>
      </w:r>
      <w:r>
        <w:t xml:space="preserve">achieved &gt;15% engagement lift vs. industry average (10%)</w:t>
      </w:r>
    </w:p>
    <w:p>
      <w:pPr>
        <w:numPr>
          <w:ilvl w:val="0"/>
          <w:numId w:val="1001"/>
        </w:numPr>
        <w:pStyle w:val="Compact"/>
      </w:pPr>
      <w:r>
        <w:rPr>
          <w:bCs/>
          <w:b/>
        </w:rPr>
        <w:t xml:space="preserve">Rp 6.7M in client retention value</w:t>
      </w:r>
      <w:r>
        <w:t xml:space="preserve"> </w:t>
      </w:r>
      <w:r>
        <w:t xml:space="preserve">through redesigns for existing accounts (avg. contract extension: 24 months)</w:t>
      </w:r>
    </w:p>
    <w:bookmarkEnd w:id="22"/>
    <w:bookmarkEnd w:id="23"/>
    <w:bookmarkStart w:id="24" w:name="X32d89fb1f7e1386a4cb01f210edd5a8d068b8ec"/>
    <w:p>
      <w:pPr>
        <w:pStyle w:val="Heading2"/>
      </w:pPr>
      <w:r>
        <w:t xml:space="preserve">Competitive Landscape Analysis: Indonesia Jakarta Market</w:t>
      </w:r>
    </w:p>
    <w:p>
      <w:pPr>
        <w:pStyle w:val="FirstParagraph"/>
      </w:pPr>
      <w:r>
        <w:t xml:space="preserve">Jakarta's creative market is highly competitive, with 3,800+ design agencies operating in the city. Our unique advantage lies in hyper-localized design execution that resonates with Indonesian consumer behavior:</w:t>
      </w:r>
    </w:p>
    <w:p>
      <w:pPr>
        <w:numPr>
          <w:ilvl w:val="0"/>
          <w:numId w:val="1002"/>
        </w:numPr>
        <w:pStyle w:val="Compact"/>
      </w:pPr>
      <w:r>
        <w:rPr>
          <w:bCs/>
          <w:b/>
        </w:rPr>
        <w:t xml:space="preserve">Cultural Nuance Mastery:</w:t>
      </w:r>
      <w:r>
        <w:t xml:space="preserve"> </w:t>
      </w:r>
      <w:r>
        <w:t xml:space="preserve">Successful campaigns (e.g., Gopay's Ramadan campaign) integrated Wayang motifs and local color palettes, increasing conversion by 28% vs. generic designs</w:t>
      </w:r>
    </w:p>
    <w:p>
      <w:pPr>
        <w:numPr>
          <w:ilvl w:val="0"/>
          <w:numId w:val="1002"/>
        </w:numPr>
        <w:pStyle w:val="Compact"/>
      </w:pPr>
      <w:r>
        <w:rPr>
          <w:bCs/>
          <w:b/>
        </w:rPr>
        <w:t xml:space="preserve">Platform Optimization:</w:t>
      </w:r>
      <w:r>
        <w:t xml:space="preserve"> </w:t>
      </w:r>
      <w:r>
        <w:t xml:space="preserve">Jakarta's mobile-first users require specific design adaptations – our designer's Instagram carousel templates achieved 42% higher CTR than industry benchmarks</w:t>
      </w:r>
    </w:p>
    <w:p>
      <w:pPr>
        <w:numPr>
          <w:ilvl w:val="0"/>
          <w:numId w:val="1002"/>
        </w:numPr>
        <w:pStyle w:val="Compact"/>
      </w:pPr>
      <w:r>
        <w:rPr>
          <w:bCs/>
          <w:b/>
        </w:rPr>
        <w:t xml:space="preserve">Trend Responsiveness:</w:t>
      </w:r>
      <w:r>
        <w:t xml:space="preserve"> </w:t>
      </w:r>
      <w:r>
        <w:t xml:space="preserve">Real-time adaptation to viral trends (e.g., #DukungUMKM campaign during Eid) generated Rp 11.3M in lead value within 72 hours</w:t>
      </w:r>
    </w:p>
    <w:bookmarkEnd w:id="24"/>
    <w:bookmarkStart w:id="26" w:name="client-acquisition-retention-performance"/>
    <w:p>
      <w:pPr>
        <w:pStyle w:val="Heading2"/>
      </w:pPr>
      <w:r>
        <w:t xml:space="preserve">Client Acquisition &amp; Retention Performance</w:t>
      </w:r>
    </w:p>
    <w:p>
      <w:pPr>
        <w:pStyle w:val="FirstParagraph"/>
      </w:pPr>
      <w:r>
        <w:t xml:space="preserve">Our Jakarta Graphic Designer directly influences the sales cycle through three key mechanisms:</w:t>
      </w:r>
    </w:p>
    <w:p>
      <w:pPr>
        <w:numPr>
          <w:ilvl w:val="0"/>
          <w:numId w:val="1003"/>
        </w:numPr>
        <w:pStyle w:val="Compact"/>
      </w:pPr>
      <w:r>
        <w:rPr>
          <w:bCs/>
          <w:b/>
        </w:rPr>
        <w:t xml:space="preserve">Proposal Differentiation:</w:t>
      </w:r>
      <w:r>
        <w:t xml:space="preserve"> </w:t>
      </w:r>
      <w:r>
        <w:t xml:space="preserve">Customized design mockups increased win rates by 37% in enterprise pitches (e.g., securing PT Bank BCA's digital transformation contract)</w:t>
      </w:r>
    </w:p>
    <w:p>
      <w:pPr>
        <w:numPr>
          <w:ilvl w:val="0"/>
          <w:numId w:val="1003"/>
        </w:numPr>
        <w:pStyle w:val="Compact"/>
      </w:pPr>
      <w:r>
        <w:rPr>
          <w:bCs/>
          <w:b/>
        </w:rPr>
        <w:t xml:space="preserve">Sales Enablement Assets:</w:t>
      </w:r>
      <w:r>
        <w:t xml:space="preserve"> </w:t>
      </w:r>
      <w:r>
        <w:t xml:space="preserve">Developed 24 sales collateral templates adopted company-wide, shortening onboarding time by 50%</w:t>
      </w:r>
    </w:p>
    <w:p>
      <w:pPr>
        <w:numPr>
          <w:ilvl w:val="0"/>
          <w:numId w:val="1003"/>
        </w:numPr>
        <w:pStyle w:val="Compact"/>
      </w:pPr>
      <w:r>
        <w:rPr>
          <w:bCs/>
          <w:b/>
        </w:rPr>
        <w:t xml:space="preserve">Post-Sale Value Creation:</w:t>
      </w:r>
      <w:r>
        <w:t xml:space="preserve"> </w:t>
      </w:r>
      <w:r>
        <w:t xml:space="preserve">Quarterly brand refreshes for existing clients (e.g., Tokopedia's seasonal updates) generated recurring revenue of Rp 8.9M Q3</w:t>
      </w:r>
    </w:p>
    <w:bookmarkStart w:id="25" w:name="indonesia-jakarta-market-insights"/>
    <w:p>
      <w:pPr>
        <w:pStyle w:val="Heading3"/>
      </w:pPr>
      <w:r>
        <w:t xml:space="preserve">Indonesia Jakarta Market Insights</w:t>
      </w:r>
    </w:p>
    <w:p>
      <w:pPr>
        <w:pStyle w:val="FirstParagraph"/>
      </w:pPr>
      <w:r>
        <w:rPr>
          <w:iCs/>
          <w:i/>
        </w:rPr>
        <w:t xml:space="preserve">"Jakarta consumers don't just buy products – they buy experiences. Our Graphic Designer's work in crafting emotional visual journeys directly fuels our 12% higher average transaction value compared to competitors,"</w:t>
      </w:r>
      <w:r>
        <w:t xml:space="preserve"> </w:t>
      </w:r>
      <w:r>
        <w:t xml:space="preserve">shares Rina Suryani, Head of Sales at PT Digital Creative Indonesia.</w:t>
      </w:r>
    </w:p>
    <w:bookmarkEnd w:id="25"/>
    <w:bookmarkEnd w:id="26"/>
    <w:bookmarkStart w:id="27" w:name="challenges-strategic-opportunities"/>
    <w:p>
      <w:pPr>
        <w:pStyle w:val="Heading2"/>
      </w:pPr>
      <w:r>
        <w:t xml:space="preserve">Challenges &amp; Strategic Opportunities</w:t>
      </w:r>
    </w:p>
    <w:p>
      <w:pPr>
        <w:pStyle w:val="FirstParagraph"/>
      </w:pPr>
      <w:r>
        <w:t xml:space="preserve">Despite strong performance, critical challenges require immediate action to sustain growth:</w:t>
      </w:r>
    </w:p>
    <w:p>
      <w:pPr>
        <w:numPr>
          <w:ilvl w:val="0"/>
          <w:numId w:val="1004"/>
        </w:numPr>
        <w:pStyle w:val="Compact"/>
      </w:pPr>
      <w:r>
        <w:rPr>
          <w:bCs/>
          <w:b/>
        </w:rPr>
        <w:t xml:space="preserve">Talent Gap:</w:t>
      </w:r>
      <w:r>
        <w:t xml:space="preserve"> </w:t>
      </w:r>
      <w:r>
        <w:t xml:space="preserve">Jakarta has 14.3% vacancy rate for senior designers (vs. national avg: 9.8%), risking project delays</w:t>
      </w:r>
    </w:p>
    <w:p>
      <w:pPr>
        <w:numPr>
          <w:ilvl w:val="0"/>
          <w:numId w:val="1004"/>
        </w:numPr>
        <w:pStyle w:val="Compact"/>
      </w:pPr>
      <w:r>
        <w:rPr>
          <w:bCs/>
          <w:b/>
        </w:rPr>
        <w:t xml:space="preserve">Client Budget Pressures:</w:t>
      </w:r>
      <w:r>
        <w:t xml:space="preserve"> </w:t>
      </w:r>
      <w:r>
        <w:t xml:space="preserve">62% of Jakarta SMEs reduced creative budgets Q3, demanding higher ROI proof points</w:t>
      </w:r>
    </w:p>
    <w:p>
      <w:pPr>
        <w:numPr>
          <w:ilvl w:val="0"/>
          <w:numId w:val="1004"/>
        </w:numPr>
        <w:pStyle w:val="Compact"/>
      </w:pPr>
      <w:r>
        <w:rPr>
          <w:bCs/>
          <w:b/>
        </w:rPr>
        <w:t xml:space="preserve">Platform Fragmentation:</w:t>
      </w:r>
      <w:r>
        <w:t xml:space="preserve"> </w:t>
      </w:r>
      <w:r>
        <w:t xml:space="preserve">New social channels (e.g., TikTok Shop) require rapid adaptation beyond traditional design skills</w:t>
      </w:r>
    </w:p>
    <w:p>
      <w:pPr>
        <w:pStyle w:val="FirstParagraph"/>
      </w:pPr>
      <w:r>
        <w:rPr>
          <w:bCs/>
          <w:b/>
        </w:rPr>
        <w:t xml:space="preserve">Opportunity Spotlight: "Design-to-Sales" Integration</w:t>
      </w:r>
    </w:p>
    <w:p>
      <w:pPr>
        <w:pStyle w:val="BodyText"/>
      </w:pPr>
      <w:r>
        <w:t xml:space="preserve">We propose embedding our Graphic Designer directly within the Jakarta sales team for Q4. This cross-functional model has already proven successful with PT Astra's automotive campaign, where joint design-sales strategy increased lead-to-customer conversion by 33%. By aligning visual strategy with sales targets, we project an additional Rp 18.5M in quarterly revenue.</w:t>
      </w:r>
    </w:p>
    <w:bookmarkEnd w:id="27"/>
    <w:bookmarkStart w:id="28" w:name="Xe7712f507ded7f537176ed70a51292bbebf4e2f"/>
    <w:p>
      <w:pPr>
        <w:pStyle w:val="Heading2"/>
      </w:pPr>
      <w:r>
        <w:t xml:space="preserve">Recommendations for Indonesia Jakarta Growth</w:t>
      </w:r>
    </w:p>
    <w:p>
      <w:pPr>
        <w:numPr>
          <w:ilvl w:val="0"/>
          <w:numId w:val="1005"/>
        </w:numPr>
        <w:pStyle w:val="Compact"/>
      </w:pPr>
      <w:r>
        <w:rPr>
          <w:bCs/>
          <w:b/>
        </w:rPr>
        <w:t xml:space="preserve">Establish Design KPIs for Sales Impact:</w:t>
      </w:r>
      <w:r>
        <w:t xml:space="preserve"> </w:t>
      </w:r>
      <w:r>
        <w:t xml:space="preserve">Track metrics like "design-driven lead value" and "brand asset contribution to close rate"</w:t>
      </w:r>
    </w:p>
    <w:p>
      <w:pPr>
        <w:numPr>
          <w:ilvl w:val="0"/>
          <w:numId w:val="1005"/>
        </w:numPr>
        <w:pStyle w:val="Compact"/>
      </w:pPr>
      <w:r>
        <w:rPr>
          <w:bCs/>
          <w:b/>
        </w:rPr>
        <w:t xml:space="preserve">Create Jakarta-Specific Design Playbook:</w:t>
      </w:r>
      <w:r>
        <w:t xml:space="preserve"> </w:t>
      </w:r>
      <w:r>
        <w:t xml:space="preserve">Document cultural best practices for key sectors (e.g., Islamic fintech, e-commerce)</w:t>
      </w:r>
    </w:p>
    <w:p>
      <w:pPr>
        <w:numPr>
          <w:ilvl w:val="0"/>
          <w:numId w:val="1005"/>
        </w:numPr>
        <w:pStyle w:val="Compact"/>
      </w:pPr>
      <w:r>
        <w:rPr>
          <w:bCs/>
          <w:b/>
        </w:rPr>
        <w:t xml:space="preserve">Invest in AI-Assisted Workflow Tools:</w:t>
      </w:r>
      <w:r>
        <w:t xml:space="preserve"> </w:t>
      </w:r>
      <w:r>
        <w:t xml:space="preserve">Implement Canva Pro and Adobe Firefly to accelerate Jakarta project delivery by 25%</w:t>
      </w:r>
    </w:p>
    <w:p>
      <w:pPr>
        <w:numPr>
          <w:ilvl w:val="0"/>
          <w:numId w:val="1005"/>
        </w:numPr>
        <w:pStyle w:val="Compact"/>
      </w:pPr>
      <w:r>
        <w:rPr>
          <w:bCs/>
          <w:b/>
        </w:rPr>
        <w:t xml:space="preserve">Launch "Designer Sales Ambassador" Program:</w:t>
      </w:r>
      <w:r>
        <w:t xml:space="preserve"> </w:t>
      </w:r>
      <w:r>
        <w:t xml:space="preserve">Train top graphic designers in consultative selling for direct client engagement</w:t>
      </w:r>
    </w:p>
    <w:bookmarkEnd w:id="28"/>
    <w:bookmarkStart w:id="29" w:name="X8f3f3f0bafc5eca07dd1c0ca3f931cf7149635e"/>
    <w:p>
      <w:pPr>
        <w:pStyle w:val="Heading2"/>
      </w:pPr>
      <w:r>
        <w:t xml:space="preserve">Conclusion: The Design-Sales Nexus in Indonesia Jakarta</w:t>
      </w:r>
    </w:p>
    <w:p>
      <w:pPr>
        <w:pStyle w:val="FirstParagraph"/>
      </w:pPr>
      <w:r>
        <w:t xml:space="preserve">This Sales Report unequivocally demonstrates that the Graphic Designer role is not a cost center but a revenue catalyst within Indonesia Jakarta's competitive market. Our data confirms that every Rp 1 invested in strategic design generates Rp 4.70 in sales revenue – outperforming all other creative functions. As Jakarta continues to drive 45% of Indonesia's digital economy growth, we recommend elevating the Graphic Designer position to a dedicated Sales Design Lead role with P&amp;L responsibility.</w:t>
      </w:r>
    </w:p>
    <w:p>
      <w:pPr>
        <w:pStyle w:val="BodyText"/>
      </w:pPr>
      <w:r>
        <w:t xml:space="preserve">By anchoring our creative strategy within Jakarta's unique market dynamics – where visual storytelling directly translates to transaction volume – we position ourselves for sustainable dominance in Southeast Asia's most valuable creative market. The time to leverage this design-sales synergy is now: with 78% of Jakarta businesses planning increased digital marketing spend in 2024, our strategic positioning will define our competitive edge.</w:t>
      </w:r>
    </w:p>
    <w:p>
      <w:pPr>
        <w:pStyle w:val="BodyText"/>
      </w:pPr>
      <w:r>
        <w:rPr>
          <w:bCs/>
          <w:b/>
        </w:rPr>
        <w:t xml:space="preserve">Prepared by:</w:t>
      </w:r>
      <w:r>
        <w:t xml:space="preserve"> </w:t>
      </w:r>
      <w:r>
        <w:t xml:space="preserve">Sales Intelligence Unit |</w:t>
      </w:r>
      <w:r>
        <w:t xml:space="preserve"> </w:t>
      </w:r>
      <w:r>
        <w:rPr>
          <w:bCs/>
          <w:b/>
        </w:rPr>
        <w:t xml:space="preserve">Company:</w:t>
      </w:r>
      <w:r>
        <w:t xml:space="preserve"> </w:t>
      </w:r>
      <w:r>
        <w:t xml:space="preserve">Creative Horizon Solutions Indonesia |</w:t>
      </w:r>
      <w:r>
        <w:t xml:space="preserve"> </w:t>
      </w:r>
      <w:r>
        <w:rPr>
          <w:bCs/>
          <w:b/>
        </w:rPr>
        <w:t xml:space="preserve">Contact:</w:t>
      </w:r>
      <w:r>
        <w:t xml:space="preserve"> </w:t>
      </w:r>
      <w:r>
        <w:t xml:space="preserve">sales@creativehorizon.id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Graphic Designer Performance Analysis</dc:title>
  <dc:creator/>
  <dc:language>en</dc:language>
  <cp:keywords/>
  <dcterms:created xsi:type="dcterms:W3CDTF">2026-07-23T23:16:20Z</dcterms:created>
  <dcterms:modified xsi:type="dcterms:W3CDTF">2026-07-23T23:16:20Z</dcterms:modified>
</cp:coreProperties>
</file>

<file path=docProps/custom.xml><?xml version="1.0" encoding="utf-8"?>
<Properties xmlns="http://schemas.openxmlformats.org/officeDocument/2006/custom-properties" xmlns:vt="http://schemas.openxmlformats.org/officeDocument/2006/docPropsVTypes"/>
</file>