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Israel</w:t>
      </w:r>
      <w:r>
        <w:t xml:space="preserve"> </w:t>
      </w:r>
      <w:r>
        <w:t xml:space="preserve">Tel</w:t>
      </w:r>
      <w:r>
        <w:t xml:space="preserve"> </w:t>
      </w:r>
      <w:r>
        <w:t xml:space="preserve">Aviv</w:t>
      </w:r>
    </w:p>
    <w:bookmarkStart w:id="29" w:name="X60ac963531172dd4e06f92d8a65e16516678f6d"/>
    <w:p>
      <w:pPr>
        <w:pStyle w:val="Heading1"/>
      </w:pPr>
      <w:r>
        <w:t xml:space="preserve">Sales Report: Comprehensive Analysis of Graphic Designer Performance in Israel Tel Aviv Market (Q3 2023)</w:t>
      </w:r>
    </w:p>
    <w:p>
      <w:pPr>
        <w:pStyle w:val="FirstParagraph"/>
      </w:pPr>
      <w:r>
        <w:rPr>
          <w:bCs/>
          <w:b/>
        </w:rPr>
        <w:t xml:space="preserve">Prepared For:</w:t>
      </w:r>
      <w:r>
        <w:t xml:space="preserve"> </w:t>
      </w:r>
      <w:r>
        <w:t xml:space="preserve">Executive Leadership Team, Design Innovation Studio Tel Aviv</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executive-summary"/>
    <w:p>
      <w:pPr>
        <w:pStyle w:val="Heading2"/>
      </w:pPr>
      <w:r>
        <w:t xml:space="preserve">1. Executive Summary</w:t>
      </w:r>
    </w:p>
    <w:p>
      <w:pPr>
        <w:pStyle w:val="FirstParagraph"/>
      </w:pPr>
      <w:r>
        <w:t xml:space="preserve">This sales report details the performance metrics of our graphic design team operating within the competitive creative ecosystem of Israel Tel Aviv. The quarter demonstrated exceptional growth with a 37% increase in revenue from design services compared to Q2, driven by strategic market positioning and deep local industry engagement. As Tel Aviv remains Israel's undisputed creative capital—home to over 60% of the nation's advertising agencies and tech startups—we've successfully captured significant market share through culturally attuned design solutions that resonate with both local Israeli businesses and international clients expanding into the region.</w:t>
      </w:r>
    </w:p>
    <w:bookmarkEnd w:id="20"/>
    <w:bookmarkStart w:id="21" w:name="X217dd3dc923b84c800f2214ea60b98026a4424f"/>
    <w:p>
      <w:pPr>
        <w:pStyle w:val="Heading2"/>
      </w:pPr>
      <w:r>
        <w:t xml:space="preserve">2. Market Context: Tel Aviv as Israel's Design Hub</w:t>
      </w:r>
    </w:p>
    <w:p>
      <w:pPr>
        <w:pStyle w:val="FirstParagraph"/>
      </w:pPr>
      <w:r>
        <w:t xml:space="preserve">Israel Tel Aviv functions as the nerve center for digital creativity in the Middle East, boasting a vibrant ecosystem where graphic designers intersect with tech innovation (43% of startups in 2023), luxury retail brands, and global marketing campaigns. Our sales data confirms that Tel Aviv-based businesses allocate 28% more budget to visual branding than other Israeli cities—a direct result of the city's status as a cultural melting pot where design influences consumer behavior across sectors from fintech to fashion. The graphic designer role in this market demands not only technical excellence but deep understanding of Israeli cultural nuances and global trends.</w:t>
      </w:r>
    </w:p>
    <w:bookmarkEnd w:id="21"/>
    <w:bookmarkStart w:id="22" w:name="sales-performance-metrics-q3-2023"/>
    <w:p>
      <w:pPr>
        <w:pStyle w:val="Heading2"/>
      </w:pPr>
      <w:r>
        <w:t xml:space="preserve">3. Sales Performance Metrics (Q3 2023)</w:t>
      </w:r>
    </w:p>
    <w:p>
      <w:pPr>
        <w:pStyle w:val="FirstParagraph"/>
      </w:pPr>
      <w:r>
        <w:t xml:space="preserve">KPI</w:t>
      </w:r>
    </w:p>
    <w:p>
      <w:pPr>
        <w:pStyle w:val="BodyText"/>
      </w:pPr>
      <w:r>
        <w:t xml:space="preserve">Q3 2023</w:t>
      </w:r>
    </w:p>
    <w:p>
      <w:pPr>
        <w:pStyle w:val="BodyText"/>
      </w:pPr>
      <w:r>
        <w:t xml:space="preserve">% vs Q2</w:t>
      </w:r>
    </w:p>
    <w:p>
      <w:pPr>
        <w:pStyle w:val="BodyText"/>
      </w:pPr>
      <w:r>
        <w:t xml:space="preserve">Target</w:t>
      </w:r>
    </w:p>
    <w:p>
      <w:pPr>
        <w:pStyle w:val="BodyText"/>
      </w:pPr>
      <w:r>
        <w:t xml:space="preserve">Total Design Revenue (ILS)</w:t>
      </w:r>
    </w:p>
    <w:p>
      <w:pPr>
        <w:pStyle w:val="BodyText"/>
      </w:pPr>
      <w:r>
        <w:t xml:space="preserve">1,845,000</w:t>
      </w:r>
    </w:p>
    <w:p>
      <w:pPr>
        <w:pStyle w:val="BodyText"/>
      </w:pPr>
      <w:r>
        <w:t xml:space="preserve">+37.2%</w:t>
      </w:r>
    </w:p>
    <w:p>
      <w:pPr>
        <w:pStyle w:val="BodyText"/>
      </w:pPr>
      <w:r>
        <w:t xml:space="preserve">1,350,000</w:t>
      </w:r>
    </w:p>
    <w:p>
      <w:pPr>
        <w:pStyle w:val="BodyText"/>
      </w:pPr>
      <w:r>
        <w:t xml:space="preserve">New Tel Aviv Clients Acquired</w:t>
      </w:r>
    </w:p>
    <w:p>
      <w:pPr>
        <w:pStyle w:val="BodyText"/>
      </w:pPr>
      <w:r>
        <w:t xml:space="preserve">27</w:t>
      </w:r>
    </w:p>
    <w:p>
      <w:pPr>
        <w:pStyle w:val="BodyText"/>
      </w:pPr>
      <w:r>
        <w:t xml:space="preserve">+41%</w:t>
      </w:r>
    </w:p>
    <w:p>
      <w:pPr>
        <w:pStyle w:val="BodyText"/>
      </w:pPr>
      <w:r>
        <w:t xml:space="preserve">19</w:t>
      </w:r>
    </w:p>
    <w:p>
      <w:pPr>
        <w:pStyle w:val="BodyText"/>
      </w:pPr>
      <w:r>
        <w:t xml:space="preserve">Client Retention Rate (Tel Aviv)</w:t>
      </w:r>
    </w:p>
    <w:p>
      <w:pPr>
        <w:pStyle w:val="BodyText"/>
      </w:pPr>
      <w:r>
        <w:t xml:space="preserve">89%</w:t>
      </w:r>
    </w:p>
    <w:p>
      <w:pPr>
        <w:pStyle w:val="BodyText"/>
      </w:pPr>
      <w:r>
        <w:t xml:space="preserve">+6.5%</w:t>
      </w:r>
    </w:p>
    <w:p>
      <w:pPr>
        <w:pStyle w:val="BodyText"/>
      </w:pPr>
      <w:r>
        <w:t xml:space="preserve">82.5%</w:t>
      </w:r>
    </w:p>
    <w:p>
      <w:pPr>
        <w:pStyle w:val="BodyText"/>
      </w:pPr>
      <w:r>
        <w:t xml:space="preserve">Avg. Project Value (ILS)</w:t>
      </w:r>
    </w:p>
    <w:p>
      <w:pPr>
        <w:pStyle w:val="BodyText"/>
      </w:pPr>
      <w:r>
        <w:t xml:space="preserve">104,300</w:t>
      </w:r>
    </w:p>
    <w:p>
      <w:pPr>
        <w:pStyle w:val="BodyText"/>
      </w:pPr>
      <w:r>
        <w:t xml:space="preserve">+18.7%</w:t>
      </w:r>
    </w:p>
    <w:p>
      <w:pPr>
        <w:pStyle w:val="BodyText"/>
      </w:pPr>
      <w:r>
        <w:t xml:space="preserve">87,900</w:t>
      </w:r>
    </w:p>
    <w:bookmarkEnd w:id="22"/>
    <w:bookmarkStart w:id="23" w:name="X61672e6d6b9d82942bb8e4eea55df947bcd02cf"/>
    <w:p>
      <w:pPr>
        <w:pStyle w:val="Heading2"/>
      </w:pPr>
      <w:r>
        <w:t xml:space="preserve">4. Key Sales Drivers in Israel Tel Aviv Market</w:t>
      </w:r>
    </w:p>
    <w:p>
      <w:pPr>
        <w:pStyle w:val="FirstParagraph"/>
      </w:pPr>
      <w:r>
        <w:rPr>
          <w:bCs/>
          <w:b/>
        </w:rPr>
        <w:t xml:space="preserve">A. Hyper-Local Cultural Integration:</w:t>
      </w:r>
      <w:r>
        <w:t xml:space="preserve"> </w:t>
      </w:r>
      <w:r>
        <w:t xml:space="preserve">Our graphic designers achieved 32% higher client satisfaction by incorporating Israeli cultural elements into branding—such as using Hebrew typography with modern minimalism for a Tel Aviv-based coffee chain (Nespresso). This resonated deeply with local consumers, driving a 40% increase in social media engagement for the client.</w:t>
      </w:r>
    </w:p>
    <w:p>
      <w:pPr>
        <w:pStyle w:val="BodyText"/>
      </w:pPr>
      <w:r>
        <w:rPr>
          <w:bCs/>
          <w:b/>
        </w:rPr>
        <w:t xml:space="preserve">B. Tech-Startup Collaboration:</w:t>
      </w:r>
      <w:r>
        <w:t xml:space="preserve"> </w:t>
      </w:r>
      <w:r>
        <w:t xml:space="preserve">Partnering with Tel Aviv's thriving tech scene yielded 15 high-value projects from Series A/B startups (e.g., fintech platform "PayMe" and healthtech app "Vita"). Graphic designers tailored pitch decks and UI/UX systems that aligned with Israeli investors' preferences for clean, data-driven visual storytelling—resulting in a 92% conversion rate on proposals.</w:t>
      </w:r>
    </w:p>
    <w:p>
      <w:pPr>
        <w:pStyle w:val="BodyText"/>
      </w:pPr>
      <w:r>
        <w:rPr>
          <w:bCs/>
          <w:b/>
        </w:rPr>
        <w:t xml:space="preserve">C. Cross-Industry Expansion:</w:t>
      </w:r>
      <w:r>
        <w:t xml:space="preserve"> </w:t>
      </w:r>
      <w:r>
        <w:t xml:space="preserve">Successfully penetrated the luxury retail sector through Tel Aviv's prestigious Dizengoff Center—a 73% increase in design contracts with high-end boutiques (e.g., "Zehut" jewelry brand) who prioritized graphic identity for their physical/digital storefronts.</w:t>
      </w:r>
    </w:p>
    <w:bookmarkEnd w:id="23"/>
    <w:bookmarkStart w:id="24" w:name="X8ee34b6a8cade403575a15b17f25b6bdfde828c"/>
    <w:p>
      <w:pPr>
        <w:pStyle w:val="Heading2"/>
      </w:pPr>
      <w:r>
        <w:t xml:space="preserve">5. Client Feedback Highlights from Israel Tel Aviv</w:t>
      </w:r>
    </w:p>
    <w:p>
      <w:pPr>
        <w:pStyle w:val="FirstParagraph"/>
      </w:pPr>
      <w:r>
        <w:rPr>
          <w:iCs/>
          <w:i/>
        </w:rPr>
        <w:t xml:space="preserve">"Our Tel Aviv-based graphic designer didn't just create a logo—they understood our Israeli consumer's emotional connection to heritage and modernity. The campaign generated 3x more foot traffic in our Jaffa boutique." - Rani Cohen, CEO of Artisana (Tel Aviv Fashion Brand)</w:t>
      </w:r>
    </w:p>
    <w:p>
      <w:pPr>
        <w:pStyle w:val="BodyText"/>
      </w:pPr>
      <w:r>
        <w:rPr>
          <w:iCs/>
          <w:i/>
        </w:rPr>
        <w:t xml:space="preserve">"In a city where design is a competitive differentiator, their Tel Aviv team delivered visuals that made us stand out in both local markets and international exhibitions." - Avi Levi, CMO at HealthTech Startup "Vita"</w:t>
      </w:r>
    </w:p>
    <w:bookmarkEnd w:id="24"/>
    <w:bookmarkStart w:id="25" w:name="market-challenges-strategic-response"/>
    <w:p>
      <w:pPr>
        <w:pStyle w:val="Heading2"/>
      </w:pPr>
      <w:r>
        <w:t xml:space="preserve">6. Market Challenges &amp; Strategic Response</w:t>
      </w:r>
    </w:p>
    <w:p>
      <w:pPr>
        <w:pStyle w:val="FirstParagraph"/>
      </w:pPr>
      <w:r>
        <w:rPr>
          <w:bCs/>
          <w:b/>
        </w:rPr>
        <w:t xml:space="preserve">Challenge:</w:t>
      </w:r>
      <w:r>
        <w:t xml:space="preserve"> </w:t>
      </w:r>
      <w:r>
        <w:t xml:space="preserve">Rising competition from freelance designers in Tel Aviv offering lower rates (&lt;30% below our pricing).</w:t>
      </w:r>
    </w:p>
    <w:p>
      <w:pPr>
        <w:pStyle w:val="BodyText"/>
      </w:pPr>
      <w:r>
        <w:rPr>
          <w:bCs/>
          <w:b/>
        </w:rPr>
        <w:t xml:space="preserve">Solution:</w:t>
      </w:r>
      <w:r>
        <w:t xml:space="preserve"> </w:t>
      </w:r>
      <w:r>
        <w:t xml:space="preserve">Our sales team pivoted to value-based pricing, emphasizing how our graphic design services directly impact client KPIs. We introduced "Tel Aviv Growth Packages" with bundled analytics reporting—proven to increase average deal size by 22% while maintaining premium positioning.</w:t>
      </w:r>
    </w:p>
    <w:p>
      <w:pPr>
        <w:pStyle w:val="BodyText"/>
      </w:pPr>
      <w:r>
        <w:rPr>
          <w:bCs/>
          <w:b/>
        </w:rPr>
        <w:t xml:space="preserve">Challenge:</w:t>
      </w:r>
      <w:r>
        <w:t xml:space="preserve"> </w:t>
      </w:r>
      <w:r>
        <w:t xml:space="preserve">Shortages of specialized designers for emerging formats (AR/VR packaging, social-first video).</w:t>
      </w:r>
    </w:p>
    <w:p>
      <w:pPr>
        <w:pStyle w:val="BodyText"/>
      </w:pPr>
      <w:r>
        <w:rPr>
          <w:bCs/>
          <w:b/>
        </w:rPr>
        <w:t xml:space="preserve">Solution:</w:t>
      </w:r>
      <w:r>
        <w:t xml:space="preserve"> </w:t>
      </w:r>
      <w:r>
        <w:t xml:space="preserve">Partnered with Tel Aviv's Interaction Design Institute (IDC) to create a talent pipeline. Our graphic designers now leverage university partnerships for continuous upskilling in cutting-edge tools demanded by Israel's innovative market.</w:t>
      </w:r>
    </w:p>
    <w:bookmarkEnd w:id="25"/>
    <w:bookmarkStart w:id="26" w:name="X09259207a017011981fa50f03d5850f5f1af8bd"/>
    <w:p>
      <w:pPr>
        <w:pStyle w:val="Heading2"/>
      </w:pPr>
      <w:r>
        <w:t xml:space="preserve">7. Competitive Positioning in Israel Tel Aviv</w:t>
      </w:r>
    </w:p>
    <w:p>
      <w:pPr>
        <w:pStyle w:val="FirstParagraph"/>
      </w:pPr>
      <w:r>
        <w:t xml:space="preserve">Our sales data confirms our #1 market position among design agencies in Tel Aviv based on: (1) Highest client retention rate (89% vs industry avg 76%), (2) Strongest performance in Israel's premium sector (&gt;50,000 ILS project value), and (3) Fastest turnaround times for urgent projects (&lt;48 hours for social media assets)—a critical need in Tel Aviv's fast-paced business environment.</w:t>
      </w:r>
    </w:p>
    <w:p>
      <w:pPr>
        <w:pStyle w:val="BodyText"/>
      </w:pPr>
      <w:r>
        <w:t xml:space="preserve">Importantly, 68% of our new Tel Aviv clients came through referrals from established local businesses—proving that our graphic design quality creates organic growth within Israel's tight-knit professional networks. This contrasts sharply with the industry average of 42% referral rates.</w:t>
      </w:r>
    </w:p>
    <w:bookmarkEnd w:id="26"/>
    <w:bookmarkStart w:id="27" w:name="q4-recommendations"/>
    <w:p>
      <w:pPr>
        <w:pStyle w:val="Heading2"/>
      </w:pPr>
      <w:r>
        <w:t xml:space="preserve">8. Q4 Recommendations</w:t>
      </w:r>
    </w:p>
    <w:p>
      <w:pPr>
        <w:numPr>
          <w:ilvl w:val="0"/>
          <w:numId w:val="1001"/>
        </w:numPr>
        <w:pStyle w:val="Compact"/>
      </w:pPr>
      <w:r>
        <w:rPr>
          <w:bCs/>
          <w:b/>
        </w:rPr>
        <w:t xml:space="preserve">Expand Tel Aviv Design Studio:</w:t>
      </w:r>
      <w:r>
        <w:t xml:space="preserve"> </w:t>
      </w:r>
      <w:r>
        <w:t xml:space="preserve">Open dedicated satellite office in Tel Aviv's "Silicon Wadi" district to accelerate client onboarding for tech clients.</w:t>
      </w:r>
    </w:p>
    <w:p>
      <w:pPr>
        <w:numPr>
          <w:ilvl w:val="0"/>
          <w:numId w:val="1001"/>
        </w:numPr>
        <w:pStyle w:val="Compact"/>
      </w:pPr>
      <w:r>
        <w:rPr>
          <w:bCs/>
          <w:b/>
        </w:rPr>
        <w:t xml:space="preserve">Leverage Cultural Intelligence:</w:t>
      </w:r>
      <w:r>
        <w:t xml:space="preserve"> </w:t>
      </w:r>
      <w:r>
        <w:t xml:space="preserve">Develop "Israeli Branding Framework" toolkit—documenting cultural nuances (e.g., color symbolism, Hebrew language hierarchy) to standardize high-conversion design processes for Israel Tel Aviv clients.</w:t>
      </w:r>
    </w:p>
    <w:p>
      <w:pPr>
        <w:numPr>
          <w:ilvl w:val="0"/>
          <w:numId w:val="1001"/>
        </w:numPr>
        <w:pStyle w:val="Compact"/>
      </w:pPr>
      <w:r>
        <w:rPr>
          <w:bCs/>
          <w:b/>
        </w:rPr>
        <w:t xml:space="preserve">Target Luxury Retail Expansion:</w:t>
      </w:r>
      <w:r>
        <w:t xml:space="preserve"> </w:t>
      </w:r>
      <w:r>
        <w:t xml:space="preserve">Allocate 25% of Q4 sales effort toward Tel Aviv's luxury sector (18% annual growth), where graphic design impacts 32% of purchase decisions according to Jaffa Market Research.</w:t>
      </w:r>
    </w:p>
    <w:bookmarkEnd w:id="27"/>
    <w:bookmarkStart w:id="28" w:name="conclusion"/>
    <w:p>
      <w:pPr>
        <w:pStyle w:val="Heading2"/>
      </w:pPr>
      <w:r>
        <w:t xml:space="preserve">9. Conclusion</w:t>
      </w:r>
    </w:p>
    <w:p>
      <w:pPr>
        <w:pStyle w:val="FirstParagraph"/>
      </w:pPr>
      <w:r>
        <w:t xml:space="preserve">The Israel Tel Aviv market has cemented itself as our most profitable regional hub for graphic design services, with sales performance directly tied to our team's ability to merge global design excellence with hyper-local Israeli cultural intelligence. Our graphic designers aren't merely executing projects—they're becoming strategic partners who understand that in Tel Aviv, where creativity drives economic momentum, every visual decision impacts a business's market trajectory. As the city continues to attract global investment and creative talent, our sales data confirms that exceptional graphic design remains the most reliable growth engine for businesses operating in Israel's premier innovation capital. We project Q4 revenue to surpass 2.1 million ILS with continued focus on Tel Aviv market penetration.</w:t>
      </w:r>
    </w:p>
    <w:p>
      <w:pPr>
        <w:pStyle w:val="BodyText"/>
      </w:pPr>
      <w:r>
        <w:rPr>
          <w:bCs/>
          <w:b/>
        </w:rPr>
        <w:t xml:space="preserve">Prepared By:</w:t>
      </w:r>
      <w:r>
        <w:t xml:space="preserve"> </w:t>
      </w:r>
      <w:r>
        <w:t xml:space="preserve">Sales Strategy Division, Design Innovation Studio</w:t>
      </w:r>
      <w:r>
        <w:br/>
      </w:r>
      <w:r>
        <w:rPr>
          <w:bCs/>
          <w:b/>
        </w:rPr>
        <w:t xml:space="preserve">Location:</w:t>
      </w:r>
      <w:r>
        <w:t xml:space="preserve"> </w:t>
      </w:r>
      <w:r>
        <w:t xml:space="preserve">Tel Aviv, Israel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Israel Tel Aviv</dc:title>
  <dc:creator/>
  <dc:language>en</dc:language>
  <cp:keywords/>
  <dcterms:created xsi:type="dcterms:W3CDTF">2025-12-10T03:14:42Z</dcterms:created>
  <dcterms:modified xsi:type="dcterms:W3CDTF">2025-12-10T03:14:42Z</dcterms:modified>
</cp:coreProperties>
</file>

<file path=docProps/custom.xml><?xml version="1.0" encoding="utf-8"?>
<Properties xmlns="http://schemas.openxmlformats.org/officeDocument/2006/custom-properties" xmlns:vt="http://schemas.openxmlformats.org/officeDocument/2006/docPropsVTypes"/>
</file>