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27" w:name="Xa6da59bf5a6ff731de26a31b732103d98f6bb2f"/>
    <w:p>
      <w:pPr>
        <w:pStyle w:val="Heading1"/>
      </w:pPr>
      <w:r>
        <w:t xml:space="preserve">Comprehensive Sales Report: Elevating Brand Identity Through Strategic Graphic Design in Kyoto, Japan</w:t>
      </w:r>
    </w:p>
    <w:bookmarkStart w:id="20" w:name="X38a5503b7bf693c20eb6c46c9536e979e296b54"/>
    <w:p>
      <w:pPr>
        <w:pStyle w:val="Heading2"/>
      </w:pPr>
      <w:r>
        <w:t xml:space="preserve">Introduction: The Kyoto Creative Landscape</w:t>
      </w:r>
    </w:p>
    <w:p>
      <w:pPr>
        <w:pStyle w:val="FirstParagraph"/>
      </w:pPr>
      <w:r>
        <w:t xml:space="preserve">This official Sales Report details the performance and strategic trajectory of our premium Graphic Designer services within the dynamic creative ecosystem of Japan Kyoto. As a city renowned for its harmonious blend of ancient traditions and cutting-edge innovation, Kyoto presents a unique market where cultural authenticity meets modern commercial demands. Our specialized Graphic Designer team has not only adapted to this environment but has become instrumental in helping global and local brands navigate Kyoto's distinctive aesthetic sensibilities. This report analyzes 12 months of sales data (Q3 2023–Q2 2024), highlighting how our design solutions have driven measurable revenue growth across key sectors including hospitality, traditional crafts, and tech startups within Japan Kyoto's thriving creative economy.</w:t>
      </w:r>
    </w:p>
    <w:bookmarkEnd w:id="20"/>
    <w:bookmarkStart w:id="21" w:name="X3534910b8aa3ba3ea1ac6d1dabb9b29814fae7c"/>
    <w:p>
      <w:pPr>
        <w:pStyle w:val="Heading2"/>
      </w:pPr>
      <w:r>
        <w:t xml:space="preserve">Market Analysis: The Kyoto Design Demand Landscape</w:t>
      </w:r>
    </w:p>
    <w:p>
      <w:pPr>
        <w:pStyle w:val="FirstParagraph"/>
      </w:pPr>
      <w:r>
        <w:t xml:space="preserve">Japan Kyoto’s graphic design market has evolved beyond basic branding into a sophisticated service requiring deep cultural intelligence. Our data reveals that 78% of local businesses and international brands entering the Kyoto market now prioritize culturally resonant visual storytelling over generic Western design approaches. This shift is particularly pronounced in sectors like ryokan (traditional inn) renovations, craft cooperatives (e.g., Kintsugi artisans), and eco-tourism ventures. The core challenge? Translating Kyoto’s spiritual aesthetics—emphasizing wabi-sabi, Ma (negative space), and seasonal motifs—into compelling commercial assets that drive customer engagement. Our Graphic Designer specialists have addressed this by developing a proprietary "Kyoto Aesthetic Framework," which integrates 50+ traditional patterns with modern UX principles. This methodology has directly contributed to a 42% increase in client retention rates within Japan Kyoto compared to industry averages.</w:t>
      </w:r>
    </w:p>
    <w:bookmarkEnd w:id="21"/>
    <w:bookmarkStart w:id="22" w:name="X7b205d90ac346bf60134cb10461f79a496cdaaa"/>
    <w:p>
      <w:pPr>
        <w:pStyle w:val="Heading2"/>
      </w:pPr>
      <w:r>
        <w:t xml:space="preserve">Key Sales Achievements: Quantifiable Impact in Kyoto</w:t>
      </w:r>
    </w:p>
    <w:p>
      <w:pPr>
        <w:pStyle w:val="FirstParagraph"/>
      </w:pPr>
      <w:r>
        <w:t xml:space="preserve">Our sales performance in Japan Kyoto demonstrates exceptional growth driven by hyper-localized design solutions. The following milestones highlight our success:</w:t>
      </w:r>
    </w:p>
    <w:p>
      <w:pPr>
        <w:numPr>
          <w:ilvl w:val="0"/>
          <w:numId w:val="1001"/>
        </w:numPr>
        <w:pStyle w:val="Compact"/>
      </w:pPr>
      <w:r>
        <w:rPr>
          <w:bCs/>
          <w:b/>
        </w:rPr>
        <w:t xml:space="preserve">Revenue Growth:</w:t>
      </w:r>
      <w:r>
        <w:t xml:space="preserve"> </w:t>
      </w:r>
      <w:r>
        <w:t xml:space="preserve">167% YoY increase in Graphic Designer service contracts, reaching ¥42.8M (approx. $290K USD) from ¥16.0M in the prior year. This growth is concentrated within Kyoto’s premium hospitality sector, where we secured 12 contracts with Michelin-starred ryokans.</w:t>
      </w:r>
    </w:p>
    <w:p>
      <w:pPr>
        <w:numPr>
          <w:ilvl w:val="0"/>
          <w:numId w:val="1001"/>
        </w:numPr>
        <w:pStyle w:val="Compact"/>
      </w:pPr>
      <w:r>
        <w:rPr>
          <w:bCs/>
          <w:b/>
        </w:rPr>
        <w:t xml:space="preserve">Cultural Integration Projects:</w:t>
      </w:r>
      <w:r>
        <w:t xml:space="preserve"> </w:t>
      </w:r>
      <w:r>
        <w:t xml:space="preserve">Developed a signature "Seasonal Storytelling" package for Kyoto-based tea houses, resulting in an average 35% uplift in seasonal reservation rates. A recent project for Gion district’s historic Kiyomizu-dera temple gift shop increased online sales by 61% through culturally nuanced packaging design.</w:t>
      </w:r>
    </w:p>
    <w:p>
      <w:pPr>
        <w:numPr>
          <w:ilvl w:val="0"/>
          <w:numId w:val="1001"/>
        </w:numPr>
        <w:pStyle w:val="Compact"/>
      </w:pPr>
      <w:r>
        <w:rPr>
          <w:bCs/>
          <w:b/>
        </w:rPr>
        <w:t xml:space="preserve">Technology Synergy:</w:t>
      </w:r>
      <w:r>
        <w:t xml:space="preserve"> </w:t>
      </w:r>
      <w:r>
        <w:t xml:space="preserve">Launched "Kyoto Digital Heritage," a suite of AR-enabled designs allowing tourists to scan physical objects (e.g., matcha bowls) for augmented history narratives. This innovative service generated ¥8.2M in new revenue from 4 major Kyoto tourism boards and was featured in Japan’s Design Society magazine.</w:t>
      </w:r>
    </w:p>
    <w:p>
      <w:pPr>
        <w:numPr>
          <w:ilvl w:val="0"/>
          <w:numId w:val="1001"/>
        </w:numPr>
        <w:pStyle w:val="Compact"/>
      </w:pPr>
      <w:r>
        <w:rPr>
          <w:bCs/>
          <w:b/>
        </w:rPr>
        <w:t xml:space="preserve">Strategic Partnerships:</w:t>
      </w:r>
      <w:r>
        <w:t xml:space="preserve"> </w:t>
      </w:r>
      <w:r>
        <w:t xml:space="preserve">Formed exclusive partnerships with Kyoto Art Center and Nishijin Textile Association, resulting in 27 co-branded design workshops. These initiatives attracted 1,800+ local artisans to our platform, creating a self-sustaining ecosystem for graphic design services within Japan Kyoto.</w:t>
      </w:r>
    </w:p>
    <w:bookmarkEnd w:id="22"/>
    <w:bookmarkStart w:id="23" w:name="X003ba5cd664fb8bde9dcd1f3e9b3c458d1973fd"/>
    <w:p>
      <w:pPr>
        <w:pStyle w:val="Heading2"/>
      </w:pPr>
      <w:r>
        <w:t xml:space="preserve">Overcoming Cultural and Market Challenges</w:t>
      </w:r>
    </w:p>
    <w:p>
      <w:pPr>
        <w:pStyle w:val="FirstParagraph"/>
      </w:pPr>
      <w:r>
        <w:t xml:space="preserve">Entering Japan Kyoto’s creative market required navigating nuanced cultural protocols. Early challenges included misaligned client expectations around "speed" (Kyoto businesses value meticulous refinement over rapid delivery) and misunderstandings of hierarchy in design approvals. Our Graphic Designer team resolved this through:</w:t>
      </w:r>
    </w:p>
    <w:p>
      <w:pPr>
        <w:numPr>
          <w:ilvl w:val="0"/>
          <w:numId w:val="1002"/>
        </w:numPr>
        <w:pStyle w:val="Compact"/>
      </w:pPr>
      <w:r>
        <w:rPr>
          <w:bCs/>
          <w:b/>
        </w:rPr>
        <w:t xml:space="preserve">Cultural Immersion Training:</w:t>
      </w:r>
      <w:r>
        <w:t xml:space="preserve"> </w:t>
      </w:r>
      <w:r>
        <w:t xml:space="preserve">Mandatory 3-week Kyoto cultural bootcamps for all designers, covering tea ceremony etiquette, seasonal symbolism, and business protocol. This reduced project rework by 63%.</w:t>
      </w:r>
    </w:p>
    <w:p>
      <w:pPr>
        <w:numPr>
          <w:ilvl w:val="0"/>
          <w:numId w:val="1002"/>
        </w:numPr>
        <w:pStyle w:val="Compact"/>
      </w:pPr>
      <w:r>
        <w:rPr>
          <w:bCs/>
          <w:b/>
        </w:rPr>
        <w:t xml:space="preserve">Localized Client Onboarding:</w:t>
      </w:r>
      <w:r>
        <w:t xml:space="preserve"> </w:t>
      </w:r>
      <w:r>
        <w:t xml:space="preserve">Implementing "Kyoto Consultation Days" at traditional venues (e.g., Nishiki Market), where designers presented concepts using physical samples rather than digital mockups—aligning with local preference for tactile engagement.</w:t>
      </w:r>
    </w:p>
    <w:p>
      <w:pPr>
        <w:numPr>
          <w:ilvl w:val="0"/>
          <w:numId w:val="1002"/>
        </w:numPr>
        <w:pStyle w:val="Compact"/>
      </w:pPr>
      <w:r>
        <w:rPr>
          <w:bCs/>
          <w:b/>
        </w:rPr>
        <w:t xml:space="preserve">Cross-Generational Collaboration:</w:t>
      </w:r>
      <w:r>
        <w:t xml:space="preserve"> </w:t>
      </w:r>
      <w:r>
        <w:t xml:space="preserve">Partnering with Kyoto’s 3rd-generation kimono artisans to co-design collections, bridging tradition and modernity. This yielded the "Wabi-Sabi Modern" line generating ¥2.1M in direct sales for our clients.</w:t>
      </w:r>
    </w:p>
    <w:bookmarkEnd w:id="23"/>
    <w:bookmarkStart w:id="24" w:name="X4739352e9fea3bd4e33d1751460f63a9c37dafe"/>
    <w:p>
      <w:pPr>
        <w:pStyle w:val="Heading2"/>
      </w:pPr>
      <w:r>
        <w:t xml:space="preserve">Future Strategy: Sustaining Growth in Kyoto</w:t>
      </w:r>
    </w:p>
    <w:p>
      <w:pPr>
        <w:pStyle w:val="FirstParagraph"/>
      </w:pPr>
      <w:r>
        <w:t xml:space="preserve">Our roadmap for Japan Kyoto focuses on three pillars to capitalize on the market’s evolution:</w:t>
      </w:r>
    </w:p>
    <w:p>
      <w:pPr>
        <w:numPr>
          <w:ilvl w:val="0"/>
          <w:numId w:val="1003"/>
        </w:numPr>
        <w:pStyle w:val="Compact"/>
      </w:pPr>
      <w:r>
        <w:rPr>
          <w:bCs/>
          <w:b/>
        </w:rPr>
        <w:t xml:space="preserve">AI-Powered Cultural Analytics:</w:t>
      </w:r>
      <w:r>
        <w:t xml:space="preserve"> </w:t>
      </w:r>
      <w:r>
        <w:t xml:space="preserve">Developing an AI tool trained on Kyoto’s historical visual databases to predict design trends. This will enable Graphic Designer teams to anticipate seasonal demands (e.g., cherry blossom-themed campaigns 6 months pre-flowering) with 90% accuracy.</w:t>
      </w:r>
    </w:p>
    <w:p>
      <w:pPr>
        <w:numPr>
          <w:ilvl w:val="0"/>
          <w:numId w:val="1003"/>
        </w:numPr>
        <w:pStyle w:val="Compact"/>
      </w:pPr>
      <w:r>
        <w:rPr>
          <w:bCs/>
          <w:b/>
        </w:rPr>
        <w:t xml:space="preserve">Sustainability Integration:</w:t>
      </w:r>
      <w:r>
        <w:t xml:space="preserve"> </w:t>
      </w:r>
      <w:r>
        <w:t xml:space="preserve">Launching "Zero-Waste Design" certifications for Kyoto brands, aligning with Japan’s 2035 carbon neutrality goals. Our first certified client (a Kyoto eco-lodge) saw a 28% premium pricing opportunity through this branding.</w:t>
      </w:r>
    </w:p>
    <w:p>
      <w:pPr>
        <w:numPr>
          <w:ilvl w:val="0"/>
          <w:numId w:val="1003"/>
        </w:numPr>
        <w:pStyle w:val="Compact"/>
      </w:pPr>
      <w:r>
        <w:rPr>
          <w:bCs/>
          <w:b/>
        </w:rPr>
        <w:t xml:space="preserve">Community Investment:</w:t>
      </w:r>
      <w:r>
        <w:t xml:space="preserve"> </w:t>
      </w:r>
      <w:r>
        <w:t xml:space="preserve">Establishing the "Kyoto Creative Fund" to sponsor design education at Kyoto University, creating a talent pipeline while reinforcing our market leadership. This initiative has already attracted 15 top design students to our internship program.</w:t>
      </w:r>
    </w:p>
    <w:bookmarkEnd w:id="24"/>
    <w:bookmarkStart w:id="26" w:name="conclusion-the-art-of-strategic-growth"/>
    <w:p>
      <w:pPr>
        <w:pStyle w:val="Heading2"/>
      </w:pPr>
      <w:r>
        <w:t xml:space="preserve">Conclusion: The Art of Strategic Growth</w:t>
      </w:r>
    </w:p>
    <w:p>
      <w:pPr>
        <w:pStyle w:val="FirstParagraph"/>
      </w:pPr>
      <w:r>
        <w:t xml:space="preserve">This Sales Report underscores that in Japan Kyoto, successful Graphic Designer services transcend aesthetics—they are cultural catalysts driving tangible business outcomes. By embedding ourselves within Kyoto’s identity—rather than imposing external design paradigms—we’ve created a sales model where every project resonates with the city’s soul while delivering exceptional ROI. As Kyoto positions itself as Asia’s innovation hub for heritage-driven commerce, our Graphic Designer team remains uniquely positioned to be the bridge between tradition and tomorrow. We project 200% revenue growth in Japan Kyoto by 2026 through continued investment in cultural intelligence and technology fusion. The data is clear: when design honors Kyoto’s essence, business flourishes.</w:t>
      </w:r>
    </w:p>
    <w:bookmarkStart w:id="25" w:name="Xbb8969c3d445468e8ef3406ccea99d68cffc3bd"/>
    <w:p>
      <w:pPr>
        <w:pStyle w:val="Heading3"/>
      </w:pPr>
      <w:r>
        <w:t xml:space="preserve">Appendix: Key Performance Indicators (Kyoto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(2024)</w:t>
            </w:r>
          </w:p>
        </w:tc>
        <w:tc>
          <w:tcPr/>
          <w:p>
            <w:pPr>
              <w:pStyle w:val="Compact"/>
              <w:jc w:val="left"/>
            </w:pPr>
            <w:r>
              <w:t xml:space="preserve">Prior Year</w:t>
            </w:r>
          </w:p>
        </w:tc>
        <w:tc>
          <w:tcPr/>
          <w:p>
            <w:pPr>
              <w:pStyle w:val="Compact"/>
              <w:jc w:val="left"/>
            </w:pPr>
            <w:r>
              <w:t xml:space="preserve">Growth Rate</w:t>
            </w:r>
          </w:p>
        </w:tc>
      </w:tr>
      <w:tr>
        <w:tc>
          <w:tcPr/>
          <w:p>
            <w:pPr>
              <w:pStyle w:val="Compact"/>
              <w:jc w:val="left"/>
            </w:pPr>
            <w:r>
              <w:t xml:space="preserve">Client Acquisition Cost (Kyoto)</w:t>
            </w:r>
          </w:p>
        </w:tc>
        <w:tc>
          <w:tcPr/>
          <w:p>
            <w:pPr>
              <w:pStyle w:val="Compact"/>
              <w:jc w:val="left"/>
            </w:pPr>
            <w:r>
              <w:t xml:space="preserve">¥85,000</w:t>
            </w:r>
          </w:p>
        </w:tc>
        <w:tc>
          <w:tcPr/>
          <w:p>
            <w:pPr>
              <w:pStyle w:val="Compact"/>
              <w:jc w:val="left"/>
            </w:pPr>
            <w:r>
              <w:t xml:space="preserve">¥127,500</w:t>
            </w:r>
          </w:p>
        </w:tc>
        <w:tc>
          <w:tcPr/>
          <w:p>
            <w:pPr>
              <w:pStyle w:val="Compact"/>
              <w:jc w:val="left"/>
            </w:pPr>
            <w:r>
              <w:t xml:space="preserve">(33.4%) ↓</w:t>
            </w:r>
          </w:p>
        </w:tc>
      </w:tr>
      <w:tr>
        <w:tc>
          <w:tcPr/>
          <w:p>
            <w:pPr>
              <w:pStyle w:val="Compact"/>
              <w:jc w:val="left"/>
            </w:pPr>
            <w:r>
              <w:t xml:space="preserve">Average Contract Value (KYOTO)</w:t>
            </w:r>
          </w:p>
        </w:tc>
        <w:tc>
          <w:tcPr/>
          <w:p>
            <w:pPr>
              <w:pStyle w:val="Compact"/>
              <w:jc w:val="left"/>
            </w:pPr>
            <w:r>
              <w:t xml:space="preserve">¥3.6M</w:t>
            </w:r>
          </w:p>
        </w:tc>
        <w:tc>
          <w:tcPr/>
          <w:p>
            <w:pPr>
              <w:pStyle w:val="Compact"/>
              <w:jc w:val="left"/>
            </w:pPr>
            <w:r>
              <w:t xml:space="preserve">¥2.1M</w:t>
            </w:r>
          </w:p>
        </w:tc>
        <w:tc>
          <w:tcPr/>
          <w:p>
            <w:pPr>
              <w:pStyle w:val="Compact"/>
              <w:jc w:val="left"/>
            </w:pPr>
            <w:r>
              <w:t xml:space="preserve">71.4% ↑</w:t>
            </w:r>
          </w:p>
        </w:tc>
      </w:tr>
      <w:tr>
        <w:tc>
          <w:tcPr/>
          <w:p>
            <w:pPr>
              <w:pStyle w:val="Compact"/>
              <w:jc w:val="left"/>
            </w:pPr>
            <w:r>
              <w:t xml:space="preserve">Cultural Alignment Score (Client Rating)</w:t>
            </w:r>
          </w:p>
        </w:tc>
        <w:tc>
          <w:tcPr/>
          <w:p>
            <w:pPr>
              <w:pStyle w:val="Compact"/>
              <w:jc w:val="left"/>
            </w:pPr>
            <w:r>
              <w:t xml:space="preserve">9.2/10</w:t>
            </w:r>
          </w:p>
        </w:tc>
        <w:tc>
          <w:tcPr/>
          <w:p>
            <w:pPr>
              <w:pStyle w:val="Compact"/>
              <w:jc w:val="left"/>
            </w:pPr>
            <w:r>
              <w:t xml:space="preserve">7.5/10</w:t>
            </w:r>
          </w:p>
        </w:tc>
        <w:tc>
          <w:tcPr/>
          <w:p>
            <w:pPr>
              <w:pStyle w:val="Compact"/>
              <w:jc w:val="left"/>
            </w:pPr>
            <w:r>
              <w:t xml:space="preserve">22.7% ↑</w:t>
            </w:r>
          </w:p>
        </w:tc>
      </w:tr>
      <w:tr>
        <w:tc>
          <w:tcPr/>
          <w:p>
            <w:pPr>
              <w:pStyle w:val="Compact"/>
              <w:jc w:val="left"/>
            </w:pPr>
            <w:r>
              <w:t xml:space="preserve">New Revenue from Kyoto Partnerships</w:t>
            </w:r>
          </w:p>
        </w:tc>
        <w:tc>
          <w:tcPr/>
          <w:p>
            <w:pPr>
              <w:pStyle w:val="Compact"/>
              <w:jc w:val="left"/>
            </w:pPr>
            <w:r>
              <w:t xml:space="preserve">¥9.8M (48% of total)</w:t>
            </w:r>
          </w:p>
        </w:tc>
        <w:tc>
          <w:tcPr/>
          <w:p>
            <w:pPr>
              <w:pStyle w:val="Compact"/>
              <w:jc w:val="left"/>
            </w:pPr>
            <w:r>
              <w:t xml:space="preserve">¥3.1M (25% of total)</w:t>
            </w:r>
          </w:p>
        </w:tc>
        <w:tc>
          <w:tcPr/>
          <w:p>
            <w:pPr>
              <w:pStyle w:val="Compact"/>
              <w:jc w:val="left"/>
            </w:pPr>
            <w:r>
              <w:t xml:space="preserve">216% ↑</w:t>
            </w:r>
          </w:p>
        </w:tc>
      </w:tr>
    </w:tbl>
    <w:p>
      <w:pPr>
        <w:pStyle w:val="BodyText"/>
      </w:pPr>
      <w:r>
        <w:rPr>
          <w:bCs/>
          <w:b/>
        </w:rPr>
        <w:t xml:space="preserve">Prepared By:</w:t>
      </w:r>
      <w:r>
        <w:t xml:space="preserve"> </w:t>
      </w:r>
      <w:r>
        <w:t xml:space="preserve">International Creative Strategy Division</w:t>
      </w:r>
      <w:r>
        <w:br/>
      </w:r>
      <w:r>
        <w:rPr>
          <w:bCs/>
          <w:b/>
        </w:rPr>
        <w:t xml:space="preserve">Date:</w:t>
      </w:r>
      <w:r>
        <w:t xml:space="preserve"> </w:t>
      </w:r>
      <w:r>
        <w:t xml:space="preserve">June 15, 2024</w:t>
      </w:r>
      <w:r>
        <w:br/>
      </w:r>
      <w:r>
        <w:rPr>
          <w:bCs/>
          <w:b/>
        </w:rPr>
        <w:t xml:space="preserve">Coverage Area:</w:t>
      </w:r>
      <w:r>
        <w:t xml:space="preserve"> </w:t>
      </w:r>
      <w:r>
        <w:t xml:space="preserve">Japan Kyoto Metropolitan Region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Kyoto, Japan</dc:title>
  <dc:creator/>
  <dc:language>en</dc:language>
  <cp:keywords/>
  <dcterms:created xsi:type="dcterms:W3CDTF">2026-07-23T20:54:20Z</dcterms:created>
  <dcterms:modified xsi:type="dcterms:W3CDTF">2026-07-23T20:54:20Z</dcterms:modified>
</cp:coreProperties>
</file>

<file path=docProps/custom.xml><?xml version="1.0" encoding="utf-8"?>
<Properties xmlns="http://schemas.openxmlformats.org/officeDocument/2006/custom-properties" xmlns:vt="http://schemas.openxmlformats.org/officeDocument/2006/docPropsVTypes"/>
</file>