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Kenya</w:t>
      </w:r>
      <w:r>
        <w:t xml:space="preserve"> </w:t>
      </w:r>
      <w:r>
        <w:t xml:space="preserve">Nairobi</w:t>
      </w:r>
    </w:p>
    <w:bookmarkStart w:id="28" w:name="Xba996036189a6f561f2b9dcd3af35f519485d65"/>
    <w:p>
      <w:pPr>
        <w:pStyle w:val="Heading1"/>
      </w:pPr>
      <w:r>
        <w:t xml:space="preserve">Sales Report: Graphic Designer Performance Analysis for Nairobi, Kenya Market</w:t>
      </w:r>
    </w:p>
    <w:bookmarkStart w:id="20" w:name="executive-summary"/>
    <w:p>
      <w:pPr>
        <w:pStyle w:val="Heading2"/>
      </w:pPr>
      <w:r>
        <w:t xml:space="preserve">Executive Summary</w:t>
      </w:r>
    </w:p>
    <w:p>
      <w:pPr>
        <w:pStyle w:val="FirstParagraph"/>
      </w:pPr>
      <w:r>
        <w:t xml:space="preserve">This comprehensive Sales Report details the performance of our premium graphic design services within the dynamic business ecosystem of Nairobi, Kenya. Covering Q3 2023 (July-September), the report demonstrates how strategic adaptation to local market needs has driven a 34% increase in revenue compared to Q2. As a leading</w:t>
      </w:r>
      <w:r>
        <w:t xml:space="preserve"> </w:t>
      </w:r>
      <w:r>
        <w:rPr>
          <w:bCs/>
          <w:b/>
        </w:rPr>
        <w:t xml:space="preserve">Graphic Designer</w:t>
      </w:r>
      <w:r>
        <w:t xml:space="preserve"> </w:t>
      </w:r>
      <w:r>
        <w:t xml:space="preserve">service provider operating exclusively across</w:t>
      </w:r>
      <w:r>
        <w:t xml:space="preserve"> </w:t>
      </w:r>
      <w:r>
        <w:rPr>
          <w:bCs/>
          <w:b/>
        </w:rPr>
        <w:t xml:space="preserve">Kenya Nairobi</w:t>
      </w:r>
      <w:r>
        <w:t xml:space="preserve">, our team has successfully navigated unique regional challenges while capitalizing on emerging digital opportunities. This document serves as both an operational assessment and growth blueprint for our Nairobi-based creative operations.</w:t>
      </w:r>
    </w:p>
    <w:bookmarkEnd w:id="20"/>
    <w:bookmarkStart w:id="21" w:name="market-context-nairobis-design-landscape"/>
    <w:p>
      <w:pPr>
        <w:pStyle w:val="Heading2"/>
      </w:pPr>
      <w:r>
        <w:t xml:space="preserve">Market Context: Nairobi's Design Landscape</w:t>
      </w:r>
    </w:p>
    <w:p>
      <w:pPr>
        <w:pStyle w:val="FirstParagraph"/>
      </w:pPr>
      <w:r>
        <w:t xml:space="preserve">Nairobi remains Kenya's undisputed creative capital, home to over 15,000 design professionals and a booming SME sector demanding visual solutions. The city's rapid digital transformation—evident in rising e-commerce adoption (47% YoY growth per ICT Authority) and social media penetration (83% of Kenyans online)—has created unprecedented demand for professional</w:t>
      </w:r>
      <w:r>
        <w:t xml:space="preserve"> </w:t>
      </w:r>
      <w:r>
        <w:rPr>
          <w:bCs/>
          <w:b/>
        </w:rPr>
        <w:t xml:space="preserve">Graphic Designer</w:t>
      </w:r>
      <w:r>
        <w:t xml:space="preserve"> </w:t>
      </w:r>
      <w:r>
        <w:t xml:space="preserve">services. Our</w:t>
      </w:r>
      <w:r>
        <w:t xml:space="preserve"> </w:t>
      </w:r>
      <w:r>
        <w:rPr>
          <w:bCs/>
          <w:b/>
        </w:rPr>
        <w:t xml:space="preserve">Sales Report</w:t>
      </w:r>
      <w:r>
        <w:t xml:space="preserve"> </w:t>
      </w:r>
      <w:r>
        <w:t xml:space="preserve">confirms that 68% of Nairobi businesses now prioritize visual branding as a core marketing strategy, directly influencing our service uptake.</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Q3 Revenue (KES)</w:t>
      </w:r>
    </w:p>
    <w:p>
      <w:pPr>
        <w:pStyle w:val="BodyText"/>
      </w:pPr>
      <w:r>
        <w:t xml:space="preserve">% of Total</w:t>
      </w:r>
    </w:p>
    <w:p>
      <w:pPr>
        <w:pStyle w:val="BodyText"/>
      </w:pPr>
      <w:r>
        <w:t xml:space="preserve">YoY Change</w:t>
      </w:r>
    </w:p>
    <w:p>
      <w:pPr>
        <w:pStyle w:val="BodyText"/>
      </w:pPr>
      <w:r>
        <w:t xml:space="preserve">Social Media Branding Packages</w:t>
      </w:r>
    </w:p>
    <w:p>
      <w:pPr>
        <w:pStyle w:val="BodyText"/>
      </w:pPr>
      <w:r>
        <w:t xml:space="preserve">1,845,000</w:t>
      </w:r>
    </w:p>
    <w:p>
      <w:pPr>
        <w:pStyle w:val="BodyText"/>
      </w:pPr>
      <w:r>
        <w:t xml:space="preserve">42%</w:t>
      </w:r>
    </w:p>
    <w:p>
      <w:pPr>
        <w:pStyle w:val="BodyText"/>
      </w:pPr>
      <w:r>
        <w:t xml:space="preserve">+39%</w:t>
      </w:r>
    </w:p>
    <w:p>
      <w:pPr>
        <w:pStyle w:val="BodyText"/>
      </w:pPr>
      <w:r>
        <w:t xml:space="preserve">E-Commerce Product Packaging</w:t>
      </w:r>
    </w:p>
    <w:p>
      <w:pPr>
        <w:pStyle w:val="BodyText"/>
      </w:pPr>
      <w:r>
        <w:t xml:space="preserve">1,275,300</w:t>
      </w:r>
    </w:p>
    <w:p>
      <w:pPr>
        <w:pStyle w:val="BodyText"/>
      </w:pPr>
      <w:r>
        <w:t xml:space="preserve">Total Revenue</w:t>
      </w:r>
    </w:p>
    <w:p>
      <w:pPr>
        <w:pStyle w:val="BodyText"/>
      </w:pPr>
      <w:r>
        <w:t xml:space="preserve">4,389,500</w:t>
      </w:r>
    </w:p>
    <w:p>
      <w:pPr>
        <w:pStyle w:val="BodyText"/>
      </w:pPr>
      <w:r>
        <w:t xml:space="preserve">100%</w:t>
      </w:r>
    </w:p>
    <w:p>
      <w:pPr>
        <w:pStyle w:val="BodyText"/>
      </w:pPr>
      <w:r>
        <w:t xml:space="preserve">+34% (vs Q2)</w:t>
      </w:r>
    </w:p>
    <w:p>
      <w:pPr>
        <w:pStyle w:val="BodyText"/>
      </w:pPr>
      <w:r>
        <w:t xml:space="preserve">The 34% revenue surge reflects strong demand for culturally resonant visual content. Our Nairobi-based</w:t>
      </w:r>
      <w:r>
        <w:t xml:space="preserve"> </w:t>
      </w:r>
      <w:r>
        <w:rPr>
          <w:bCs/>
          <w:b/>
        </w:rPr>
        <w:t xml:space="preserve">Graphic Designer</w:t>
      </w:r>
      <w:r>
        <w:t xml:space="preserve"> </w:t>
      </w:r>
      <w:r>
        <w:t xml:space="preserve">team achieved this by specializing in Kenyan market nuances—like incorporating Maasai patterns into branding for tourism clients and using Swahili copy in digital campaigns. Notably, 76% of our Q3 clients were new acquisitions from Nairobi's growing startup incubators (e.g., iHub, Nailab), validating our hyperlocal strategy.</w:t>
      </w:r>
    </w:p>
    <w:bookmarkEnd w:id="22"/>
    <w:bookmarkStart w:id="23" w:name="Xd90a6c0eab9fc1e131a4b77183fee5928fd9970"/>
    <w:p>
      <w:pPr>
        <w:pStyle w:val="Heading2"/>
      </w:pPr>
      <w:r>
        <w:t xml:space="preserve">Client Sector Analysis: Nairobi's Top Demand Drivers</w:t>
      </w:r>
    </w:p>
    <w:p>
      <w:pPr>
        <w:pStyle w:val="FirstParagraph"/>
      </w:pPr>
      <w:r>
        <w:t xml:space="preserve">Our</w:t>
      </w:r>
      <w:r>
        <w:t xml:space="preserve"> </w:t>
      </w:r>
      <w:r>
        <w:rPr>
          <w:bCs/>
          <w:b/>
        </w:rPr>
        <w:t xml:space="preserve">Sales Report</w:t>
      </w:r>
      <w:r>
        <w:t xml:space="preserve"> </w:t>
      </w:r>
      <w:r>
        <w:t xml:space="preserve">reveals distinct sectoral patterns in the Nairobi market:</w:t>
      </w:r>
    </w:p>
    <w:p>
      <w:pPr>
        <w:numPr>
          <w:ilvl w:val="0"/>
          <w:numId w:val="1001"/>
        </w:numPr>
        <w:pStyle w:val="Compact"/>
      </w:pPr>
      <w:r>
        <w:rPr>
          <w:bCs/>
          <w:b/>
        </w:rPr>
        <w:t xml:space="preserve">Tech Startups (41% of revenue):</w:t>
      </w:r>
      <w:r>
        <w:t xml:space="preserve"> </w:t>
      </w:r>
      <w:r>
        <w:t xml:space="preserve">Fintechs like M-Kopa and Paystack prioritize sleek app interfaces. We delivered 28 mobile UI/UX projects this quarter, with average deal value at KES 75,000.</w:t>
      </w:r>
    </w:p>
    <w:p>
      <w:pPr>
        <w:numPr>
          <w:ilvl w:val="0"/>
          <w:numId w:val="1001"/>
        </w:numPr>
        <w:pStyle w:val="Compact"/>
      </w:pPr>
      <w:r>
        <w:rPr>
          <w:bCs/>
          <w:b/>
        </w:rPr>
        <w:t xml:space="preserve">Agri-Business (29% of revenue):</w:t>
      </w:r>
      <w:r>
        <w:t xml:space="preserve"> </w:t>
      </w:r>
      <w:r>
        <w:t xml:space="preserve">Export-focused firms like Sarit &amp; Sons needed packaging that meets EU standards while appealing to Kenyan consumers. Our design solutions boosted their export orders by 22%.</w:t>
      </w:r>
    </w:p>
    <w:p>
      <w:pPr>
        <w:numPr>
          <w:ilvl w:val="0"/>
          <w:numId w:val="1001"/>
        </w:numPr>
        <w:pStyle w:val="Compact"/>
      </w:pPr>
      <w:r>
        <w:rPr>
          <w:bCs/>
          <w:b/>
        </w:rPr>
        <w:t xml:space="preserve">Healthcare (18% of revenue):</w:t>
      </w:r>
      <w:r>
        <w:t xml:space="preserve"> </w:t>
      </w:r>
      <w:r>
        <w:t xml:space="preserve">Hospitals including Aga Khan and Nairobi Hospital commissioned patient education visuals in Swahili and English, increasing community engagement metrics by 37%.</w:t>
      </w:r>
    </w:p>
    <w:bookmarkEnd w:id="23"/>
    <w:bookmarkStart w:id="24" w:name="regional-challenges-solutions"/>
    <w:p>
      <w:pPr>
        <w:pStyle w:val="Heading2"/>
      </w:pPr>
      <w:r>
        <w:t xml:space="preserve">Regional Challenges &amp; Solutions</w:t>
      </w:r>
    </w:p>
    <w:p>
      <w:pPr>
        <w:pStyle w:val="FirstParagraph"/>
      </w:pPr>
      <w:r>
        <w:t xml:space="preserve">Nairobi's unique market constraints required agile adaptations. Our</w:t>
      </w:r>
      <w:r>
        <w:t xml:space="preserve"> </w:t>
      </w:r>
      <w:r>
        <w:rPr>
          <w:bCs/>
          <w:b/>
        </w:rPr>
        <w:t xml:space="preserve">Sales Report</w:t>
      </w:r>
      <w:r>
        <w:t xml:space="preserve"> </w:t>
      </w:r>
      <w:r>
        <w:t xml:space="preserve">identifies three key challenges and our responsive solutions:</w:t>
      </w:r>
    </w:p>
    <w:p>
      <w:pPr>
        <w:numPr>
          <w:ilvl w:val="0"/>
          <w:numId w:val="1002"/>
        </w:numPr>
        <w:pStyle w:val="Compact"/>
      </w:pPr>
      <w:r>
        <w:rPr>
          <w:bCs/>
          <w:b/>
          <w:iCs/>
          <w:i/>
        </w:rPr>
        <w:t xml:space="preserve">Payment Delays (32% of clients):</w:t>
      </w:r>
      <w:r>
        <w:t xml:space="preserve"> </w:t>
      </w:r>
      <w:r>
        <w:t xml:space="preserve">Nairobi SMEs often face cash flow issues. We implemented a tiered payment system with 50% upfront for startups, reducing payment delays by 61%. This was critical for maintaining cash flow in the Kenyan context.</w:t>
      </w:r>
    </w:p>
    <w:p>
      <w:pPr>
        <w:numPr>
          <w:ilvl w:val="0"/>
          <w:numId w:val="1002"/>
        </w:numPr>
        <w:pStyle w:val="Compact"/>
      </w:pPr>
      <w:r>
        <w:rPr>
          <w:bCs/>
          <w:b/>
          <w:iCs/>
          <w:i/>
        </w:rPr>
        <w:t xml:space="preserve">Cultural Misalignment (24% of revisions):</w:t>
      </w:r>
      <w:r>
        <w:t xml:space="preserve"> </w:t>
      </w:r>
      <w:r>
        <w:t xml:space="preserve">Initial designs sometimes missed local symbolism. Our Nairobi team now includes a "Kenyan Culture Audit" phase using local consultants (e.g., from Kenya National Museum), cutting revision cycles by 50%.</w:t>
      </w:r>
    </w:p>
    <w:p>
      <w:pPr>
        <w:numPr>
          <w:ilvl w:val="0"/>
          <w:numId w:val="1002"/>
        </w:numPr>
        <w:pStyle w:val="Compact"/>
      </w:pPr>
      <w:r>
        <w:rPr>
          <w:bCs/>
          <w:b/>
          <w:iCs/>
          <w:i/>
        </w:rPr>
        <w:t xml:space="preserve">Digital Infrastructure Gaps:</w:t>
      </w:r>
      <w:r>
        <w:t xml:space="preserve"> </w:t>
      </w:r>
      <w:r>
        <w:t xml:space="preserve">38% of rural clients near Nairobi needed simplified file delivery. We partnered with Safaricom to offer SMS-based asset delivery, expanding our reach to 14 new counties while serving Nairobi clients more efficiently.</w:t>
      </w:r>
    </w:p>
    <w:bookmarkEnd w:id="24"/>
    <w:bookmarkStart w:id="25" w:name="strategic-growth-initiatives-for-q4"/>
    <w:p>
      <w:pPr>
        <w:pStyle w:val="Heading2"/>
      </w:pPr>
      <w:r>
        <w:t xml:space="preserve">Strategic Growth Initiatives for Q4</w:t>
      </w:r>
    </w:p>
    <w:p>
      <w:pPr>
        <w:pStyle w:val="FirstParagraph"/>
      </w:pPr>
      <w:r>
        <w:t xml:space="preserve">Based on this</w:t>
      </w:r>
      <w:r>
        <w:t xml:space="preserve"> </w:t>
      </w:r>
      <w:r>
        <w:rPr>
          <w:bCs/>
          <w:b/>
        </w:rPr>
        <w:t xml:space="preserve">Sales Report</w:t>
      </w:r>
      <w:r>
        <w:t xml:space="preserve">, we're launching three Nairobi-specific initiatives:</w:t>
      </w:r>
    </w:p>
    <w:p>
      <w:pPr>
        <w:numPr>
          <w:ilvl w:val="0"/>
          <w:numId w:val="1003"/>
        </w:numPr>
        <w:pStyle w:val="Compact"/>
      </w:pPr>
      <w:r>
        <w:rPr>
          <w:bCs/>
          <w:b/>
        </w:rPr>
        <w:t xml:space="preserve">Nairobi Branding Hub:</w:t>
      </w:r>
      <w:r>
        <w:t xml:space="preserve"> </w:t>
      </w:r>
      <w:r>
        <w:t xml:space="preserve">A physical co-working space near Upper Hill offering free design workshops for local entrepreneurs. This positions us as community leaders while generating 25% of our Q4 leads.</w:t>
      </w:r>
    </w:p>
    <w:p>
      <w:pPr>
        <w:numPr>
          <w:ilvl w:val="0"/>
          <w:numId w:val="1003"/>
        </w:numPr>
        <w:pStyle w:val="Compact"/>
      </w:pPr>
      <w:r>
        <w:rPr>
          <w:bCs/>
          <w:b/>
        </w:rPr>
        <w:t xml:space="preserve">Kenyan Visual Language Database:</w:t>
      </w:r>
      <w:r>
        <w:t xml:space="preserve"> </w:t>
      </w:r>
      <w:r>
        <w:t xml:space="preserve">A curated library of culturally appropriate assets (patterns, color palettes, icon sets) to accelerate Nairobi project delivery by 30%. Developed with Kenyan artists from Kibera Arts Collective.</w:t>
      </w:r>
    </w:p>
    <w:p>
      <w:pPr>
        <w:numPr>
          <w:ilvl w:val="0"/>
          <w:numId w:val="1003"/>
        </w:numPr>
        <w:pStyle w:val="Compact"/>
      </w:pPr>
      <w:r>
        <w:rPr>
          <w:bCs/>
          <w:b/>
        </w:rPr>
        <w:t xml:space="preserve">Government Partnership Program:</w:t>
      </w:r>
      <w:r>
        <w:t xml:space="preserve"> </w:t>
      </w:r>
      <w:r>
        <w:t xml:space="preserve">Targeting county government projects like Nairobi County's "Digital Transformation Initiative," where visual branding is mandated for all new civic apps.</w:t>
      </w:r>
    </w:p>
    <w:bookmarkEnd w:id="25"/>
    <w:bookmarkStart w:id="27" w:name="financial-outlook-market-position"/>
    <w:p>
      <w:pPr>
        <w:pStyle w:val="Heading2"/>
      </w:pPr>
      <w:r>
        <w:t xml:space="preserve">Financial Outlook &amp; Market Position</w:t>
      </w:r>
    </w:p>
    <w:p>
      <w:pPr>
        <w:pStyle w:val="FirstParagraph"/>
      </w:pPr>
      <w:r>
        <w:t xml:space="preserve">Nairobi's graphic design market is projected to reach KES 18.7 billion by 2025 (KPMG Kenya). Our current position—top 3 in Nairobi based on client retention (94% vs industry average 76%)—is directly attributable to our</w:t>
      </w:r>
      <w:r>
        <w:t xml:space="preserve"> </w:t>
      </w:r>
      <w:r>
        <w:rPr>
          <w:bCs/>
          <w:b/>
        </w:rPr>
        <w:t xml:space="preserve">Graphic Designer</w:t>
      </w:r>
      <w:r>
        <w:t xml:space="preserve"> </w:t>
      </w:r>
      <w:r>
        <w:t xml:space="preserve">team's deep Nairobi market immersion. The Q3 results confirm that local expertise is non-negotiable for success in this competitive environment.</w:t>
      </w:r>
    </w:p>
    <w:p>
      <w:pPr>
        <w:pStyle w:val="BodyText"/>
      </w:pPr>
      <w:r>
        <w:t xml:space="preserve">This</w:t>
      </w:r>
      <w:r>
        <w:t xml:space="preserve"> </w:t>
      </w:r>
      <w:r>
        <w:rPr>
          <w:bCs/>
          <w:b/>
        </w:rPr>
        <w:t xml:space="preserve">Sales Report</w:t>
      </w:r>
      <w:r>
        <w:t xml:space="preserve"> </w:t>
      </w:r>
      <w:r>
        <w:t xml:space="preserve">underscores that for any creative business operating in Kenya, understanding Nairobi's cultural and economic pulse isn't just advantageous—it's the foundation of scalability. Our data-driven approach to Nairobi-specific challenges has turned market constraints into growth vectors. As we move into 2024, we'll double down on hyperlocal strategies: developing Swahili-speaking design consultants, creating mobile-optimized portfolios for low-bandwidth areas (common in Nairobi suburbs), and forming partnerships with Kenyan universities to cultivate future talent.</w:t>
      </w:r>
    </w:p>
    <w:bookmarkStart w:id="26" w:name="conclusion"/>
    <w:p>
      <w:pPr>
        <w:pStyle w:val="Heading3"/>
      </w:pPr>
      <w:r>
        <w:t xml:space="preserve">Conclusion</w:t>
      </w:r>
    </w:p>
    <w:p>
      <w:pPr>
        <w:pStyle w:val="FirstParagraph"/>
      </w:pPr>
      <w:r>
        <w:t xml:space="preserve">The Nairobi graphic design market is evolving rapidly, but our Q3 results prove that deep regional integration drives exceptional sales outcomes. This</w:t>
      </w:r>
      <w:r>
        <w:t xml:space="preserve"> </w:t>
      </w:r>
      <w:r>
        <w:rPr>
          <w:bCs/>
          <w:b/>
        </w:rPr>
        <w:t xml:space="preserve">Sales Report</w:t>
      </w:r>
      <w:r>
        <w:t xml:space="preserve"> </w:t>
      </w:r>
      <w:r>
        <w:t xml:space="preserve">demonstrates that a strategic focus on Kenya's unique cultural and economic landscape—rather than generic global approaches—delivers sustainable growth. As the premier</w:t>
      </w:r>
      <w:r>
        <w:t xml:space="preserve"> </w:t>
      </w:r>
      <w:r>
        <w:rPr>
          <w:bCs/>
          <w:b/>
        </w:rPr>
        <w:t xml:space="preserve">Graphic Designer</w:t>
      </w:r>
      <w:r>
        <w:t xml:space="preserve"> </w:t>
      </w:r>
      <w:r>
        <w:t xml:space="preserve">service provider in Nairobi, we've not only met client needs but elevated industry standards across Kenya's most vibrant business hub. Our roadmap for 2024 prioritizes scaling this model while cementing Nairobi as our flagship market.</w:t>
      </w:r>
    </w:p>
    <w:p>
      <w:pPr>
        <w:pStyle w:val="BodyText"/>
      </w:pPr>
      <w:r>
        <w:rPr>
          <w:iCs/>
          <w:i/>
        </w:rPr>
        <w:t xml:space="preserve">Prepared for: Leadership Team, Graphic Design Division | Date: October 15, 2023 | Location: Nairobi, Kenya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Services in Kenya Nairobi</dc:title>
  <dc:creator/>
  <dc:language>en</dc:language>
  <cp:keywords/>
  <dcterms:created xsi:type="dcterms:W3CDTF">2025-12-11T09:27:10Z</dcterms:created>
  <dcterms:modified xsi:type="dcterms:W3CDTF">2025-12-11T09:27:10Z</dcterms:modified>
</cp:coreProperties>
</file>

<file path=docProps/custom.xml><?xml version="1.0" encoding="utf-8"?>
<Properties xmlns="http://schemas.openxmlformats.org/officeDocument/2006/custom-properties" xmlns:vt="http://schemas.openxmlformats.org/officeDocument/2006/docPropsVTypes"/>
</file>