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Netherlands</w:t>
      </w:r>
      <w:r>
        <w:t xml:space="preserve"> </w:t>
      </w:r>
      <w:r>
        <w:t xml:space="preserve">Amsterdam</w:t>
      </w:r>
    </w:p>
    <w:bookmarkStart w:id="27" w:name="X1ef3300f8cf1246aec976bab8031ab32a31c010"/>
    <w:p>
      <w:pPr>
        <w:pStyle w:val="Heading1"/>
      </w:pPr>
      <w:r>
        <w:t xml:space="preserve">ANNUAL SALES REPORT: GRAPHIC DESIGNER PERFORMANCE IN AMSTERDAM,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Amsterdam Creative Solutions (ACS), Netherlands</w:t>
      </w:r>
    </w:p>
    <w:bookmarkStart w:id="20" w:name="i.-executive-summary"/>
    <w:p>
      <w:pPr>
        <w:pStyle w:val="Heading2"/>
      </w:pPr>
      <w:r>
        <w:t xml:space="preserve">I. Executive Summary</w:t>
      </w:r>
    </w:p>
    <w:p>
      <w:pPr>
        <w:pStyle w:val="FirstParagraph"/>
      </w:pPr>
      <w:r>
        <w:t xml:space="preserve">This comprehensive Sales Report details the performance of our graphic design services within the vibrant creative ecosystem of Amsterdam, Netherlands. As a premier graphic designer serving multinational corporations, startups, and local brands in the heart of Europe's creative capital, we achieved a remarkable 18% year-over-year revenue growth in 2023. Our strategic focus on Dutch market nuances—combining Amsterdam's design heritage with contemporary digital demands—has positioned us as a top-tier partner for branding and visual communication solutions across the Netherlands. This document analyzes sales drivers, client satisfaction metrics, and future opportunities specifically within the Amsterdam landscape.</w:t>
      </w:r>
    </w:p>
    <w:bookmarkEnd w:id="20"/>
    <w:bookmarkStart w:id="21" w:name="X492a5cfc27374b5923da87c6bcad41a00b73ec1"/>
    <w:p>
      <w:pPr>
        <w:pStyle w:val="Heading2"/>
      </w:pPr>
      <w:r>
        <w:t xml:space="preserve">II. Market Context: Graphic Design in Amsterdam, Netherlands</w:t>
      </w:r>
    </w:p>
    <w:p>
      <w:pPr>
        <w:pStyle w:val="FirstParagraph"/>
      </w:pPr>
      <w:r>
        <w:t xml:space="preserve">Amsterdam's graphic design industry thrives as a nexus of innovation and tradition. With over 150 creative agencies operating in the city (per Dutch Creative Industries Report 2023), we've capitalized on Amsterdam's unique position as a global hub where Dutch minimalism meets international branding needs. The Netherlands' digital adoption rate (78%) far exceeds the EU average, creating unprecedented demand for responsive, culturally attuned visual solutions. Key trends driving our sales include:</w:t>
      </w:r>
    </w:p>
    <w:p>
      <w:pPr>
        <w:numPr>
          <w:ilvl w:val="0"/>
          <w:numId w:val="1001"/>
        </w:numPr>
        <w:pStyle w:val="Compact"/>
      </w:pPr>
      <w:r>
        <w:rPr>
          <w:bCs/>
          <w:b/>
        </w:rPr>
        <w:t xml:space="preserve">Localization Imperative:</w:t>
      </w:r>
      <w:r>
        <w:t xml:space="preserve"> </w:t>
      </w:r>
      <w:r>
        <w:t xml:space="preserve">72% of Dutch brands require culturally adapted visuals (vs. generic international templates)</w:t>
      </w:r>
    </w:p>
    <w:p>
      <w:pPr>
        <w:numPr>
          <w:ilvl w:val="0"/>
          <w:numId w:val="1001"/>
        </w:numPr>
        <w:pStyle w:val="Compact"/>
      </w:pPr>
      <w:r>
        <w:rPr>
          <w:bCs/>
          <w:b/>
        </w:rPr>
        <w:t xml:space="preserve">Sustainability Integration:</w:t>
      </w:r>
      <w:r>
        <w:t xml:space="preserve"> </w:t>
      </w:r>
      <w:r>
        <w:t xml:space="preserve">Eco-conscious design requests up 45% YoY in Amsterdam</w:t>
      </w:r>
    </w:p>
    <w:p>
      <w:pPr>
        <w:numPr>
          <w:ilvl w:val="0"/>
          <w:numId w:val="1001"/>
        </w:numPr>
        <w:pStyle w:val="Compact"/>
      </w:pPr>
      <w:r>
        <w:rPr>
          <w:bCs/>
          <w:b/>
        </w:rPr>
        <w:t xml:space="preserve">Digital Transformation:</w:t>
      </w:r>
      <w:r>
        <w:t xml:space="preserve"> </w:t>
      </w:r>
      <w:r>
        <w:t xml:space="preserve">Demand for social media assets + web interfaces grew 63% in Q3 2023</w:t>
      </w:r>
    </w:p>
    <w:bookmarkEnd w:id="21"/>
    <w:bookmarkStart w:id="22" w:name="Xdce54bc7bc4a73e3db5eea62e714d3e1ca27512"/>
    <w:p>
      <w:pPr>
        <w:pStyle w:val="Heading2"/>
      </w:pPr>
      <w:r>
        <w:t xml:space="preserve">III. Sales Performance Analysis (Amsterdam Focus)</w:t>
      </w:r>
    </w:p>
    <w:p>
      <w:pPr>
        <w:pStyle w:val="FirstParagraph"/>
      </w:pPr>
      <w:r>
        <w:t xml:space="preserve">Our Amsterdam-based graphic design team delivered €1.87M in sales (14% above target) through three core service pillars:</w:t>
      </w:r>
    </w:p>
    <w:p>
      <w:pPr>
        <w:pStyle w:val="BodyText"/>
      </w:pPr>
      <w:r>
        <w:t xml:space="preserve">Service Category</w:t>
      </w:r>
    </w:p>
    <w:p>
      <w:pPr>
        <w:pStyle w:val="BodyText"/>
      </w:pPr>
      <w:r>
        <w:t xml:space="preserve">2022 Sales (€)</w:t>
      </w:r>
    </w:p>
    <w:p>
      <w:pPr>
        <w:pStyle w:val="BodyText"/>
      </w:pPr>
      <w:r>
        <w:t xml:space="preserve">2023 Sales (€)</w:t>
      </w:r>
    </w:p>
    <w:p>
      <w:pPr>
        <w:pStyle w:val="BodyText"/>
      </w:pPr>
      <w:r>
        <w:t xml:space="preserve">Growth (%)</w:t>
      </w:r>
    </w:p>
    <w:p>
      <w:pPr>
        <w:pStyle w:val="BodyText"/>
      </w:pPr>
      <w:r>
        <w:t xml:space="preserve">Amsterdam Market Share</w:t>
      </w:r>
    </w:p>
    <w:p>
      <w:pPr>
        <w:pStyle w:val="BodyText"/>
      </w:pPr>
      <w:r>
        <w:t xml:space="preserve">Digital Branding &amp; UI/UX</w:t>
      </w:r>
    </w:p>
    <w:p>
      <w:pPr>
        <w:pStyle w:val="BodyText"/>
      </w:pPr>
      <w:r>
        <w:t xml:space="preserve">485,000</w:t>
      </w:r>
    </w:p>
    <w:p>
      <w:pPr>
        <w:pStyle w:val="BodyText"/>
      </w:pPr>
      <w:r>
        <w:t xml:space="preserve">721,500</w:t>
      </w:r>
    </w:p>
    <w:p>
      <w:pPr>
        <w:pStyle w:val="BodyText"/>
      </w:pPr>
      <w:r>
        <w:t xml:space="preserve">48.8%</w:t>
      </w:r>
    </w:p>
    <w:p>
      <w:pPr>
        <w:pStyle w:val="BodyText"/>
      </w:pPr>
      <w:r>
        <w:t xml:space="preserve">31% (vs. 24% in 2022)</w:t>
      </w:r>
    </w:p>
    <w:p>
      <w:pPr>
        <w:pStyle w:val="BodyText"/>
      </w:pPr>
      <w:r>
        <w:t xml:space="preserve">Packaging &amp; Print Solutions</w:t>
      </w:r>
    </w:p>
    <w:p>
      <w:pPr>
        <w:pStyle w:val="BodyText"/>
      </w:pPr>
      <w:r>
        <w:t xml:space="preserve">367,000</w:t>
      </w:r>
    </w:p>
    <w:p>
      <w:pPr>
        <w:pStyle w:val="BodyText"/>
      </w:pPr>
      <w:r>
        <w:t xml:space="preserve">519,800</w:t>
      </w:r>
    </w:p>
    <w:p>
      <w:pPr>
        <w:pStyle w:val="BodyText"/>
      </w:pPr>
      <w:r>
        <w:t xml:space="preserve">41.6%</w:t>
      </w:r>
    </w:p>
    <w:p>
      <w:pPr>
        <w:pStyle w:val="BodyText"/>
      </w:pPr>
      <w:r>
        <w:t xml:space="preserve">27% (vs. 21%)</w:t>
      </w:r>
    </w:p>
    <w:p>
      <w:pPr>
        <w:pStyle w:val="BodyText"/>
      </w:pPr>
      <w:r>
        <w:t xml:space="preserve">Sustainability-Driven Design</w:t>
      </w:r>
    </w:p>
    <w:p>
      <w:pPr>
        <w:pStyle w:val="BodyText"/>
      </w:pPr>
      <w:r>
        <w:t xml:space="preserve">- (New Service)</w:t>
      </w:r>
    </w:p>
    <w:p>
      <w:pPr>
        <w:pStyle w:val="BodyText"/>
      </w:pPr>
      <w:r>
        <w:t xml:space="preserve">328,700</w:t>
      </w:r>
    </w:p>
    <w:p>
      <w:pPr>
        <w:pStyle w:val="BodyText"/>
      </w:pPr>
      <w:r>
        <w:t xml:space="preserve">N/A</w:t>
      </w:r>
    </w:p>
    <w:p>
      <w:pPr>
        <w:pStyle w:val="BodyText"/>
      </w:pPr>
      <w:r>
        <w:t xml:space="preserve">Not Applicable - Market First!</w:t>
      </w:r>
    </w:p>
    <w:p>
      <w:pPr>
        <w:pStyle w:val="BodyText"/>
      </w:pPr>
      <w:r>
        <w:t xml:space="preserve">Key Amsterdam-specific insights:</w:t>
      </w:r>
    </w:p>
    <w:p>
      <w:pPr>
        <w:numPr>
          <w:ilvl w:val="0"/>
          <w:numId w:val="1002"/>
        </w:numPr>
        <w:pStyle w:val="Compact"/>
      </w:pPr>
      <w:r>
        <w:t xml:space="preserve">We secured 12 new corporate accounts in the Amsterdam Metropolitan Area, including three major logistics firms (based at Schiphol) and two renewable energy startups in Waterland.</w:t>
      </w:r>
    </w:p>
    <w:p>
      <w:pPr>
        <w:numPr>
          <w:ilvl w:val="0"/>
          <w:numId w:val="1002"/>
        </w:numPr>
        <w:pStyle w:val="Compact"/>
      </w:pPr>
      <w:r>
        <w:t xml:space="preserve">89% of sales originated from repeat clients within a 30km radius of Amsterdam city center—proving our hyper-localized approach resonates.</w:t>
      </w:r>
    </w:p>
    <w:p>
      <w:pPr>
        <w:numPr>
          <w:ilvl w:val="0"/>
          <w:numId w:val="1002"/>
        </w:numPr>
        <w:pStyle w:val="Compact"/>
      </w:pPr>
      <w:r>
        <w:t xml:space="preserve">Client retention rate: 94% (vs. industry average of 76%), driven by deep cultural understanding and timely Amsterdam-specific delivery cycles.</w:t>
      </w:r>
    </w:p>
    <w:bookmarkEnd w:id="22"/>
    <w:bookmarkStart w:id="23" w:name="X34d6cf809debab1a5ae66175fc6acd4e023db1a"/>
    <w:p>
      <w:pPr>
        <w:pStyle w:val="Heading2"/>
      </w:pPr>
      <w:r>
        <w:t xml:space="preserve">IV. Client Portfolio Highlights: Netherlands Amsterdam</w:t>
      </w:r>
    </w:p>
    <w:p>
      <w:pPr>
        <w:pStyle w:val="FirstParagraph"/>
      </w:pPr>
      <w:r>
        <w:t xml:space="preserve">Our graphic designer team executed projects for iconic Netherlands brands with local impact:</w:t>
      </w:r>
    </w:p>
    <w:p>
      <w:pPr>
        <w:numPr>
          <w:ilvl w:val="0"/>
          <w:numId w:val="1003"/>
        </w:numPr>
        <w:pStyle w:val="Compact"/>
      </w:pPr>
      <w:r>
        <w:rPr>
          <w:bCs/>
          <w:b/>
        </w:rPr>
        <w:t xml:space="preserve">DHL Supply Chain (Amsterdam Office):</w:t>
      </w:r>
      <w:r>
        <w:t xml:space="preserve"> </w:t>
      </w:r>
      <w:r>
        <w:t xml:space="preserve">Developed a sustainable packaging system reducing plastic use by 65%—now implemented across all Dutch distribution hubs. Generated €210k in sales + 45% upsell on digital tracking assets.</w:t>
      </w:r>
    </w:p>
    <w:p>
      <w:pPr>
        <w:numPr>
          <w:ilvl w:val="0"/>
          <w:numId w:val="1003"/>
        </w:numPr>
        <w:pStyle w:val="Compact"/>
      </w:pPr>
      <w:r>
        <w:rPr>
          <w:bCs/>
          <w:b/>
        </w:rPr>
        <w:t xml:space="preserve">Pure Food Market (Amsterdam East):</w:t>
      </w:r>
      <w:r>
        <w:t xml:space="preserve"> </w:t>
      </w:r>
      <w:r>
        <w:t xml:space="preserve">Created minimalist rebranding aligning with Dutch "rustic luxury" trend. Increased foot traffic by 32% in first quarter post-launch. Project value: €145k.</w:t>
      </w:r>
    </w:p>
    <w:p>
      <w:pPr>
        <w:numPr>
          <w:ilvl w:val="0"/>
          <w:numId w:val="1003"/>
        </w:numPr>
        <w:pStyle w:val="Compact"/>
      </w:pPr>
      <w:r>
        <w:rPr>
          <w:bCs/>
          <w:b/>
        </w:rPr>
        <w:t xml:space="preserve">Netherlands Tourism Board:</w:t>
      </w:r>
      <w:r>
        <w:t xml:space="preserve"> </w:t>
      </w:r>
      <w:r>
        <w:t xml:space="preserve">Designed digital campaign celebrating Amsterdam's canals (featuring local waterway imagery). Resulted in 28M impressions across Dutch social platforms + €190k contract extension.</w:t>
      </w:r>
    </w:p>
    <w:bookmarkEnd w:id="23"/>
    <w:bookmarkStart w:id="24" w:name="v.-challenges-strategic-adjustments"/>
    <w:p>
      <w:pPr>
        <w:pStyle w:val="Heading2"/>
      </w:pPr>
      <w:r>
        <w:t xml:space="preserve">V. Challenges &amp; Strategic Adjustments</w:t>
      </w:r>
    </w:p>
    <w:p>
      <w:pPr>
        <w:pStyle w:val="FirstParagraph"/>
      </w:pPr>
      <w:r>
        <w:t xml:space="preserve">Despite strong performance, we identified critical challenges in the Netherlands Amsterdam market:</w:t>
      </w:r>
    </w:p>
    <w:p>
      <w:pPr>
        <w:numPr>
          <w:ilvl w:val="0"/>
          <w:numId w:val="1004"/>
        </w:numPr>
        <w:pStyle w:val="Compact"/>
      </w:pPr>
      <w:r>
        <w:rPr>
          <w:bCs/>
          <w:b/>
        </w:rPr>
        <w:t xml:space="preserve">Talent Competition:</w:t>
      </w:r>
      <w:r>
        <w:t xml:space="preserve"> </w:t>
      </w:r>
      <w:r>
        <w:t xml:space="preserve">Rising wages for graphic designers (+15% in Amsterdam) strained margins. *Solution: Implemented AI-assisted workflow tools (e.g., Adobe Firefly integration), boosting productivity by 22%.</w:t>
      </w:r>
    </w:p>
    <w:p>
      <w:pPr>
        <w:numPr>
          <w:ilvl w:val="0"/>
          <w:numId w:val="1004"/>
        </w:numPr>
        <w:pStyle w:val="Compact"/>
      </w:pPr>
      <w:r>
        <w:rPr>
          <w:bCs/>
          <w:b/>
        </w:rPr>
        <w:t xml:space="preserve">Cultural Misalignment:</w:t>
      </w:r>
      <w:r>
        <w:t xml:space="preserve"> </w:t>
      </w:r>
      <w:r>
        <w:t xml:space="preserve">Early projects lacked nuance for Dutch "gezelligheid" (coziness) aesthetic. *Solution: Added mandatory cultural training for designers; now all pitches include Amsterdam-specific mood boards.</w:t>
      </w:r>
    </w:p>
    <w:p>
      <w:pPr>
        <w:numPr>
          <w:ilvl w:val="0"/>
          <w:numId w:val="1004"/>
        </w:numPr>
        <w:pStyle w:val="Compact"/>
      </w:pPr>
      <w:r>
        <w:rPr>
          <w:bCs/>
          <w:b/>
        </w:rPr>
        <w:t xml:space="preserve">Sustainability Pressure:</w:t>
      </w:r>
      <w:r>
        <w:t xml:space="preserve"> </w:t>
      </w:r>
      <w:r>
        <w:t xml:space="preserve">Clients demanded full lifecycle reporting. *Solution: Launched "Eco-Design Certification" for all print projects—now a key sales differentiator.</w:t>
      </w:r>
    </w:p>
    <w:bookmarkEnd w:id="24"/>
    <w:bookmarkStart w:id="25" w:name="X408084fb5b7d062cc2bca84f130f0a28a80019e"/>
    <w:p>
      <w:pPr>
        <w:pStyle w:val="Heading2"/>
      </w:pPr>
      <w:r>
        <w:t xml:space="preserve">VI. Future Growth Strategy for Netherlands Amsterdam</w:t>
      </w:r>
    </w:p>
    <w:p>
      <w:pPr>
        <w:pStyle w:val="FirstParagraph"/>
      </w:pPr>
      <w:r>
        <w:t xml:space="preserve">To sustain momentum, our 2024 roadmap focuses on:</w:t>
      </w:r>
    </w:p>
    <w:p>
      <w:pPr>
        <w:numPr>
          <w:ilvl w:val="0"/>
          <w:numId w:val="1005"/>
        </w:numPr>
        <w:pStyle w:val="Compact"/>
      </w:pPr>
      <w:r>
        <w:rPr>
          <w:bCs/>
          <w:b/>
        </w:rPr>
        <w:t xml:space="preserve">Amsterdam Creative Cluster Expansion:</w:t>
      </w:r>
      <w:r>
        <w:t xml:space="preserve"> </w:t>
      </w:r>
      <w:r>
        <w:t xml:space="preserve">Partner with De Nieuwe School (Amsterdam) to train emerging Dutch talent, ensuring local market expertise.</w:t>
      </w:r>
    </w:p>
    <w:p>
      <w:pPr>
        <w:numPr>
          <w:ilvl w:val="0"/>
          <w:numId w:val="1005"/>
        </w:numPr>
        <w:pStyle w:val="Compact"/>
      </w:pPr>
      <w:r>
        <w:rPr>
          <w:bCs/>
          <w:b/>
        </w:rPr>
        <w:t xml:space="preserve">Digital-First Packaging:</w:t>
      </w:r>
      <w:r>
        <w:t xml:space="preserve"> </w:t>
      </w:r>
      <w:r>
        <w:t xml:space="preserve">Develop QR-code integrated packaging solutions for Amsterdam's retail boom—targeting €300k in new sales.</w:t>
      </w:r>
    </w:p>
    <w:p>
      <w:pPr>
        <w:numPr>
          <w:ilvl w:val="0"/>
          <w:numId w:val="1005"/>
        </w:numPr>
        <w:pStyle w:val="Compact"/>
      </w:pPr>
      <w:r>
        <w:rPr>
          <w:bCs/>
          <w:b/>
        </w:rPr>
        <w:t xml:space="preserve">Government Collaboration:</w:t>
      </w:r>
      <w:r>
        <w:t xml:space="preserve"> </w:t>
      </w:r>
      <w:r>
        <w:t xml:space="preserve">Bid on municipal projects (e.g., Amsterdam Climate Action Plan visuals) to leverage public sector demand.</w:t>
      </w:r>
    </w:p>
    <w:p>
      <w:pPr>
        <w:numPr>
          <w:ilvl w:val="0"/>
          <w:numId w:val="1005"/>
        </w:numPr>
        <w:pStyle w:val="Compact"/>
      </w:pPr>
      <w:r>
        <w:rPr>
          <w:bCs/>
          <w:b/>
        </w:rPr>
        <w:t xml:space="preserve">Data-Driven Localization:</w:t>
      </w:r>
      <w:r>
        <w:t xml:space="preserve"> </w:t>
      </w:r>
      <w:r>
        <w:t xml:space="preserve">Implement real-time analytics tracking Dutch social media visual trends (e.g., TikTok aesthetics in Noord, Amsterdam).</w:t>
      </w:r>
    </w:p>
    <w:bookmarkEnd w:id="25"/>
    <w:bookmarkStart w:id="26" w:name="vii.-conclusion"/>
    <w:p>
      <w:pPr>
        <w:pStyle w:val="Heading2"/>
      </w:pPr>
      <w:r>
        <w:t xml:space="preserve">VII. Conclusion</w:t>
      </w:r>
    </w:p>
    <w:p>
      <w:pPr>
        <w:pStyle w:val="FirstParagraph"/>
      </w:pPr>
      <w:r>
        <w:t xml:space="preserve">As demonstrated in this Sales Report, our graphic designer team has not merely participated in the Netherlands Amsterdam creative economy—we've redefined its standards through hyper-localized excellence. The data confirms that understanding Amsterdam's unique blend of Dutch pragmatism and global ambition is non-negotiable for success. With 76% of our current pipeline originating from Netherlands-based clients (compared to 48% in 2021), we're positioned to capture over €2.5M in sales by Q4 2024. Our commitment remains clear: every design solution must reflect Amsterdam's essence while driving measurable business outcomes for our partners across the Netherlands.</w:t>
      </w:r>
    </w:p>
    <w:p>
      <w:pPr>
        <w:pStyle w:val="BodyText"/>
      </w:pPr>
      <w:r>
        <w:rPr>
          <w:bCs/>
          <w:b/>
        </w:rPr>
        <w:t xml:space="preserve">Final Note:</w:t>
      </w:r>
      <w:r>
        <w:t xml:space="preserve"> </w:t>
      </w:r>
      <w:r>
        <w:t xml:space="preserve">This Sales Report underscores that in the competitive landscape of graphic design, success in Amsterdam isn't about following trends—it's about embedding yourself within the city's cultural heartbeat. As our designers continue to master Dutch visual language and Amsterdam-specific market needs, we anticipate becoming the undisputed creative partner for brands seeking authenticity in the heart of Europe.</w:t>
      </w:r>
    </w:p>
    <w:p>
      <w:pPr>
        <w:pStyle w:val="BodyText"/>
      </w:pPr>
      <w:r>
        <w:rPr>
          <w:iCs/>
          <w:i/>
        </w:rPr>
        <w:t xml:space="preserve">Amsterdam Creative Solutions: Where Dutch Design Meets Global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Graphic Designer Performance in Netherlands Amsterdam</dc:title>
  <dc:creator/>
  <dc:language>en</dc:language>
  <cp:keywords/>
  <dcterms:created xsi:type="dcterms:W3CDTF">2026-07-21T12:31:56Z</dcterms:created>
  <dcterms:modified xsi:type="dcterms:W3CDTF">2026-07-21T12:31:56Z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