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p>
    <w:bookmarkStart w:id="27" w:name="X4dbf885a66d98155a3b58a6d41eef878f337621"/>
    <w:p>
      <w:pPr>
        <w:pStyle w:val="Heading1"/>
      </w:pPr>
      <w:r>
        <w:t xml:space="preserve">Comprehensive Sales Performance Report: Graphic Designer Role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Lima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contributions of our Graphic Designer position within the Lima market, demonstrating a direct correlation between strategic visual communication and revenue growth in Peru's competitive business landscape. The dedicated Graphic Designer has driven a remarkable 34% increase in client acquisition rates and elevated brand recognition across key sectors including retail, tourism, and fintech in Lima. This report validates the indispensable role of specialized design talent for sales success in the Peruvian market, particularly within the dynamic urban environment of Peru Lima.</w:t>
      </w:r>
    </w:p>
    <w:bookmarkEnd w:id="20"/>
    <w:bookmarkStart w:id="21" w:name="X5d717094ce3ce4ddca664987ecc90064187aa5d"/>
    <w:p>
      <w:pPr>
        <w:pStyle w:val="Heading2"/>
      </w:pPr>
      <w:r>
        <w:t xml:space="preserve">II. Sales Performance Analysis by Graphic Designer Initiatives</w:t>
      </w:r>
    </w:p>
    <w:p>
      <w:pPr>
        <w:pStyle w:val="FirstParagraph"/>
      </w:pPr>
      <w:r>
        <w:rPr>
          <w:bCs/>
          <w:b/>
        </w:rPr>
        <w:t xml:space="preserve">Brand Identity Development:</w:t>
      </w:r>
      <w:r>
        <w:t xml:space="preserve"> </w:t>
      </w:r>
      <w:r>
        <w:t xml:space="preserve">The Graphic Designer spearheaded a comprehensive rebranding initiative for our flagship tourism clients in Peru Lima. By creating culturally resonant visual assets reflecting Peruvian heritage (Inca motifs, Andean colors, local landscapes), we achieved a 27% higher conversion rate on digital campaigns versus previous campaigns. These assets directly supported sales teams' pitch decks, resulting in 15 new contracts worth $420K USD within Q3 alone.</w:t>
      </w:r>
    </w:p>
    <w:p>
      <w:pPr>
        <w:pStyle w:val="BodyText"/>
      </w:pPr>
      <w:r>
        <w:rPr>
          <w:bCs/>
          <w:b/>
        </w:rPr>
        <w:t xml:space="preserve">Marketing Material Optimization:</w:t>
      </w:r>
      <w:r>
        <w:t xml:space="preserve"> </w:t>
      </w:r>
      <w:r>
        <w:t xml:space="preserve">In Peru Lima's fast-paced market, the Graphic Designer redesigned all client-facing collateral including brochures, social media templates, and email newsletters. This overhaul increased engagement rates by 41% (from 8.2% to 11.6%) as measured through HubSpot analytics. Sales teams reported that visually cohesive materials reduced closing times by an average of 2.3 business days per deal in the Lima region.</w:t>
      </w:r>
    </w:p>
    <w:p>
      <w:pPr>
        <w:pStyle w:val="BodyText"/>
      </w:pPr>
      <w:r>
        <w:rPr>
          <w:bCs/>
          <w:b/>
        </w:rPr>
        <w:t xml:space="preserve">Client-Specific Campaigns:</w:t>
      </w:r>
      <w:r>
        <w:t xml:space="preserve"> </w:t>
      </w:r>
      <w:r>
        <w:t xml:space="preserve">For a major Peruvian retail client, the Graphic Designer developed location-specific visual content for Lima's Miraflores and San Isidro districts. These hyper-localized campaigns generated a 29% higher foot traffic conversion rate compared to generic national campaigns. This directly contributed $187K USD in incremental sales during Q3.</w:t>
      </w:r>
    </w:p>
    <w:bookmarkEnd w:id="21"/>
    <w:bookmarkStart w:id="22" w:name="Xca91742767478bec89b1b1d3839abefcee32682"/>
    <w:p>
      <w:pPr>
        <w:pStyle w:val="Heading2"/>
      </w:pPr>
      <w:r>
        <w:t xml:space="preserve">III. Market Context: Why Graphic Design Drives Sales in Peru Lima</w:t>
      </w:r>
    </w:p>
    <w:p>
      <w:pPr>
        <w:pStyle w:val="FirstParagraph"/>
      </w:pPr>
      <w:r>
        <w:t xml:space="preserve">The competitive business environment of Peru Lima demands exceptional visual storytelling. With over 14,000 registered businesses competing for attention in the capital city, our data shows that brands with professional design assets achieve 3x higher recall rates among Lima consumers (Peruvian Marketing Institute, Q2 2023). The Graphic Designer's role has evolved beyond aesthetics to become a core sales engine:</w:t>
      </w:r>
    </w:p>
    <w:p>
      <w:pPr>
        <w:numPr>
          <w:ilvl w:val="0"/>
          <w:numId w:val="1001"/>
        </w:numPr>
        <w:pStyle w:val="Compact"/>
      </w:pPr>
      <w:r>
        <w:rPr>
          <w:bCs/>
          <w:b/>
        </w:rPr>
        <w:t xml:space="preserve">Cultural Intelligence:</w:t>
      </w:r>
      <w:r>
        <w:t xml:space="preserve"> </w:t>
      </w:r>
      <w:r>
        <w:t xml:space="preserve">Understanding local nuances (e.g., avoiding purple in tourism branding due to historical associations) prevents costly missteps that directly impact sales conversions.</w:t>
      </w:r>
    </w:p>
    <w:p>
      <w:pPr>
        <w:numPr>
          <w:ilvl w:val="0"/>
          <w:numId w:val="1001"/>
        </w:numPr>
        <w:pStyle w:val="Compact"/>
      </w:pPr>
      <w:r>
        <w:rPr>
          <w:bCs/>
          <w:b/>
        </w:rPr>
        <w:t xml:space="preserve">Digital-First Market:</w:t>
      </w:r>
      <w:r>
        <w:t xml:space="preserve"> </w:t>
      </w:r>
      <w:r>
        <w:t xml:space="preserve">73% of Lima consumers discover brands via Instagram and Facebook. The Graphic Designer's mobile-optimized content drives 68% of our digital leads in the region.</w:t>
      </w:r>
    </w:p>
    <w:p>
      <w:pPr>
        <w:numPr>
          <w:ilvl w:val="0"/>
          <w:numId w:val="1001"/>
        </w:numPr>
        <w:pStyle w:val="Compact"/>
      </w:pPr>
      <w:r>
        <w:rPr>
          <w:bCs/>
          <w:b/>
        </w:rPr>
        <w:t xml:space="preserve">Sales Enablement:</w:t>
      </w:r>
      <w:r>
        <w:t xml:space="preserve"> </w:t>
      </w:r>
      <w:r>
        <w:t xml:space="preserve">Customized design assets allow sales teams to rapidly tailor proposals for Lima's diverse sectors—corporate (San Isidro), luxury (Miraflores), and startup (Barranco) markets.</w:t>
      </w:r>
    </w:p>
    <w:bookmarkEnd w:id="22"/>
    <w:bookmarkStart w:id="23" w:name="iv.-quantifiable-sales-impact"/>
    <w:p>
      <w:pPr>
        <w:pStyle w:val="Heading2"/>
      </w:pPr>
      <w:r>
        <w:t xml:space="preserve">IV. Quantifiable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Cost Investment (USD)</w:t>
            </w:r>
          </w:p>
        </w:tc>
        <w:tc>
          <w:tcPr/>
          <w:p>
            <w:pPr>
              <w:pStyle w:val="Compact"/>
              <w:jc w:val="left"/>
            </w:pPr>
            <w:r>
              <w:t xml:space="preserve">Revenue Generated</w:t>
            </w:r>
          </w:p>
        </w:tc>
        <w:tc>
          <w:tcPr/>
          <w:p>
            <w:pPr>
              <w:pStyle w:val="Compact"/>
              <w:jc w:val="left"/>
            </w:pPr>
            <w:r>
              <w:t xml:space="preserve">ROI</w:t>
            </w:r>
          </w:p>
        </w:tc>
      </w:tr>
      <w:tr>
        <w:tc>
          <w:tcPr/>
          <w:p>
            <w:pPr>
              <w:pStyle w:val="Compact"/>
              <w:jc w:val="left"/>
            </w:pPr>
            <w:r>
              <w:t xml:space="preserve">Lima Tourism Rebranding Campaign</w:t>
            </w:r>
          </w:p>
        </w:tc>
        <w:tc>
          <w:tcPr/>
          <w:p>
            <w:pPr>
              <w:pStyle w:val="Compact"/>
              <w:jc w:val="left"/>
            </w:pPr>
            <w:r>
              <w:t xml:space="preserve">$12,500</w:t>
            </w:r>
          </w:p>
        </w:tc>
        <w:tc>
          <w:tcPr/>
          <w:p>
            <w:pPr>
              <w:pStyle w:val="Compact"/>
              <w:jc w:val="left"/>
            </w:pPr>
            <w:r>
              <w:t xml:space="preserve">$420,000</w:t>
            </w:r>
          </w:p>
        </w:tc>
        <w:tc>
          <w:tcPr/>
          <w:p>
            <w:pPr>
              <w:pStyle w:val="Compact"/>
              <w:jc w:val="left"/>
            </w:pPr>
            <w:r>
              <w:t xml:space="preserve">3,268%</w:t>
            </w:r>
          </w:p>
        </w:tc>
      </w:tr>
      <w:tr>
        <w:tc>
          <w:tcPr/>
          <w:p>
            <w:pPr>
              <w:pStyle w:val="Compact"/>
              <w:jc w:val="left"/>
            </w:pPr>
            <w:r>
              <w:t xml:space="preserve">Mobile-Optimized Social Ads (Lima Focus)</w:t>
            </w:r>
          </w:p>
        </w:tc>
        <w:tc>
          <w:tcPr/>
          <w:p>
            <w:pPr>
              <w:pStyle w:val="Compact"/>
              <w:jc w:val="left"/>
            </w:pPr>
            <w:r>
              <w:t xml:space="preserve">$8,350</w:t>
            </w:r>
          </w:p>
        </w:tc>
        <w:tc>
          <w:tcPr/>
          <w:p>
            <w:pPr>
              <w:pStyle w:val="Compact"/>
              <w:jc w:val="left"/>
            </w:pPr>
            <w:r>
              <w:t xml:space="preserve">$214,500</w:t>
            </w:r>
          </w:p>
        </w:tc>
        <w:tc>
          <w:tcPr/>
          <w:p>
            <w:pPr>
              <w:pStyle w:val="Compact"/>
              <w:jc w:val="left"/>
            </w:pPr>
            <w:r>
              <w:t xml:space="preserve">2,539%</w:t>
            </w:r>
          </w:p>
        </w:tc>
      </w:tr>
      <w:tr>
        <w:tc>
          <w:tcPr/>
          <w:p>
            <w:pPr>
              <w:pStyle w:val="Compact"/>
              <w:jc w:val="left"/>
            </w:pPr>
            <w:r>
              <w:t xml:space="preserve">Client-Specific District Campaigns (Miraflores/San Isidro)</w:t>
            </w:r>
          </w:p>
        </w:tc>
        <w:tc>
          <w:tcPr/>
          <w:p>
            <w:pPr>
              <w:pStyle w:val="Compact"/>
              <w:jc w:val="left"/>
            </w:pPr>
            <w:r>
              <w:t xml:space="preserve">$6,700</w:t>
            </w:r>
          </w:p>
        </w:tc>
        <w:tc>
          <w:tcPr>
            <w:gridSpan w:val="2"/>
          </w:tcPr>
          <w:p>
            <w:pPr>
              <w:pStyle w:val="Compact"/>
              <w:jc w:val="left"/>
            </w:pPr>
            <w:r>
              <w:t xml:space="preserve">Direct $187,000 incremental sales</w:t>
            </w:r>
          </w:p>
        </w:tc>
      </w:tr>
      <w:tr>
        <w:tc>
          <w:tcPr/>
          <w:p>
            <w:pPr>
              <w:pStyle w:val="Compact"/>
              <w:jc w:val="left"/>
            </w:pPr>
            <w:r>
              <w:rPr>
                <w:bCs/>
                <w:b/>
              </w:rPr>
              <w:t xml:space="preserve">Quarter Total</w:t>
            </w:r>
          </w:p>
        </w:tc>
        <w:tc>
          <w:tcPr/>
          <w:p>
            <w:pPr>
              <w:pStyle w:val="Compact"/>
              <w:jc w:val="left"/>
            </w:pPr>
            <w:r>
              <w:rPr>
                <w:bCs/>
                <w:b/>
              </w:rPr>
              <w:t xml:space="preserve">$27,550</w:t>
            </w:r>
          </w:p>
        </w:tc>
        <w:tc>
          <w:tcPr/>
          <w:p>
            <w:pPr>
              <w:pStyle w:val="Compact"/>
              <w:jc w:val="left"/>
            </w:pPr>
            <w:r>
              <w:rPr>
                <w:bCs/>
                <w:b/>
              </w:rPr>
              <w:t xml:space="preserve">$821,500</w:t>
            </w:r>
          </w:p>
        </w:tc>
        <w:tc>
          <w:tcPr/>
          <w:p>
            <w:pPr>
              <w:pStyle w:val="Compact"/>
              <w:jc w:val="left"/>
            </w:pPr>
            <w:r>
              <w:rPr>
                <w:bCs/>
                <w:b/>
              </w:rPr>
              <w:t xml:space="preserve">2,963%</w:t>
            </w:r>
          </w:p>
        </w:tc>
      </w:tr>
    </w:tbl>
    <w:bookmarkEnd w:id="23"/>
    <w:bookmarkStart w:id="24" w:name="X9cf98b17d8d5ddc36848ae419b58ff1bae4b5dc"/>
    <w:p>
      <w:pPr>
        <w:pStyle w:val="Heading2"/>
      </w:pPr>
      <w:r>
        <w:t xml:space="preserve">V. Challenges and Strategic Adaptations in Peru Lima</w:t>
      </w:r>
    </w:p>
    <w:p>
      <w:pPr>
        <w:pStyle w:val="FirstParagraph"/>
      </w:pPr>
      <w:r>
        <w:t xml:space="preserve">The Graphic Designer role faced unique challenges requiring market-specific solutions:</w:t>
      </w:r>
    </w:p>
    <w:p>
      <w:pPr>
        <w:numPr>
          <w:ilvl w:val="0"/>
          <w:numId w:val="1002"/>
        </w:numPr>
        <w:pStyle w:val="Compact"/>
      </w:pPr>
      <w:r>
        <w:rPr>
          <w:bCs/>
          <w:b/>
        </w:rPr>
        <w:t xml:space="preserve">Logistical Hurdles:</w:t>
      </w:r>
      <w:r>
        <w:t xml:space="preserve"> </w:t>
      </w:r>
      <w:r>
        <w:t xml:space="preserve">In Lima's traffic-congested urban core, the designer implemented digital collaboration tools (Figma, Slack) to enable real-time feedback with sales teams across 12 districts. This eliminated 90% of in-person meeting delays.</w:t>
      </w:r>
    </w:p>
    <w:p>
      <w:pPr>
        <w:numPr>
          <w:ilvl w:val="0"/>
          <w:numId w:val="1002"/>
        </w:numPr>
        <w:pStyle w:val="Compact"/>
      </w:pPr>
      <w:r>
        <w:rPr>
          <w:bCs/>
          <w:b/>
        </w:rPr>
        <w:t xml:space="preserve">Cultural Sensitivity:</w:t>
      </w:r>
      <w:r>
        <w:t xml:space="preserve"> </w:t>
      </w:r>
      <w:r>
        <w:t xml:space="preserve">After a misstep with color symbolism during Lima's Independence Day campaign, the designer now collaborates with local cultural advisors for all Peru Lima projects—reducing campaign rejections by 76%.</w:t>
      </w:r>
    </w:p>
    <w:p>
      <w:pPr>
        <w:numPr>
          <w:ilvl w:val="0"/>
          <w:numId w:val="1002"/>
        </w:numPr>
        <w:pStyle w:val="Compact"/>
      </w:pPr>
      <w:r>
        <w:rPr>
          <w:bCs/>
          <w:b/>
        </w:rPr>
        <w:t xml:space="preserve">Competitive Pressure:</w:t>
      </w:r>
      <w:r>
        <w:t xml:space="preserve"> </w:t>
      </w:r>
      <w:r>
        <w:t xml:space="preserve">With Lima hosting 40% of Peru's advertising agencies, the designer focused on developing proprietary visual templates for fast turnaround (avg. 18 hours vs industry standard 72 hours), making our sales proposals more competitive.</w:t>
      </w:r>
    </w:p>
    <w:bookmarkEnd w:id="24"/>
    <w:bookmarkStart w:id="25" w:name="X5dcc7dcaa525cc96d7cbbe76172ae17827505d2"/>
    <w:p>
      <w:pPr>
        <w:pStyle w:val="Heading2"/>
      </w:pPr>
      <w:r>
        <w:t xml:space="preserve">VI. Strategic Recommendations for Sales Growth</w:t>
      </w:r>
    </w:p>
    <w:p>
      <w:pPr>
        <w:pStyle w:val="FirstParagraph"/>
      </w:pPr>
      <w:r>
        <w:t xml:space="preserve">Based on this Sales Report, we recommend the following to maximize the Graphic Designer's impact on Peru Lima sales:</w:t>
      </w:r>
    </w:p>
    <w:p>
      <w:pPr>
        <w:numPr>
          <w:ilvl w:val="0"/>
          <w:numId w:val="1003"/>
        </w:numPr>
        <w:pStyle w:val="Compact"/>
      </w:pPr>
      <w:r>
        <w:rPr>
          <w:bCs/>
          <w:b/>
        </w:rPr>
        <w:t xml:space="preserve">Expand Design-Driven Sales Training:</w:t>
      </w:r>
      <w:r>
        <w:t xml:space="preserve"> </w:t>
      </w:r>
      <w:r>
        <w:t xml:space="preserve">Integrate graphic design principles into all Lima-based sales team workshops. A pilot program showed 22% faster proposal customization when sales reps understand visual storytelling.</w:t>
      </w:r>
    </w:p>
    <w:p>
      <w:pPr>
        <w:numPr>
          <w:ilvl w:val="0"/>
          <w:numId w:val="1003"/>
        </w:numPr>
        <w:pStyle w:val="Compact"/>
      </w:pPr>
      <w:r>
        <w:rPr>
          <w:bCs/>
          <w:b/>
        </w:rPr>
        <w:t xml:space="preserve">Develop Lima-Specific Design Library:</w:t>
      </w:r>
      <w:r>
        <w:t xml:space="preserve"> </w:t>
      </w:r>
      <w:r>
        <w:t xml:space="preserve">Build a centralized repository of culturally validated assets (e.g., Andean patterns, local landmarks) for rapid deployment. Estimated cost: $15K; projected ROI: 400% in Year 1.</w:t>
      </w:r>
    </w:p>
    <w:p>
      <w:pPr>
        <w:numPr>
          <w:ilvl w:val="0"/>
          <w:numId w:val="1003"/>
        </w:numPr>
        <w:pStyle w:val="Compact"/>
      </w:pPr>
      <w:r>
        <w:rPr>
          <w:bCs/>
          <w:b/>
        </w:rPr>
        <w:t xml:space="preserve">Prioritize Multilingual Visuals:</w:t>
      </w:r>
      <w:r>
        <w:t xml:space="preserve"> </w:t>
      </w:r>
      <w:r>
        <w:t xml:space="preserve">Create Spanish/English design variants for Lima's international business sector (32% of our clients). The designer's bilingual capability directly supported 8 new B2B contracts this quarter.</w:t>
      </w:r>
    </w:p>
    <w:p>
      <w:pPr>
        <w:numPr>
          <w:ilvl w:val="0"/>
          <w:numId w:val="1003"/>
        </w:numPr>
        <w:pStyle w:val="Compact"/>
      </w:pPr>
      <w:r>
        <w:rPr>
          <w:bCs/>
          <w:b/>
        </w:rPr>
        <w:t xml:space="preserve">Implement Design KPIs in Sales Metrics:</w:t>
      </w:r>
      <w:r>
        <w:t xml:space="preserve"> </w:t>
      </w:r>
      <w:r>
        <w:t xml:space="preserve">Track "Design-Enabled Deals" (where visual assets influenced closing) as a core sales metric. This will quantify the Graphic Designer's contribution to revenue beyond traditional cost-center metrics.</w:t>
      </w:r>
    </w:p>
    <w:bookmarkEnd w:id="25"/>
    <w:bookmarkStart w:id="26" w:name="vii.-conclusion"/>
    <w:p>
      <w:pPr>
        <w:pStyle w:val="Heading2"/>
      </w:pPr>
      <w:r>
        <w:t xml:space="preserve">VII. Conclusion</w:t>
      </w:r>
    </w:p>
    <w:p>
      <w:pPr>
        <w:pStyle w:val="FirstParagraph"/>
      </w:pPr>
      <w:r>
        <w:t xml:space="preserve">This Sales Report unequivocally demonstrates that the Graphic Designer is not merely an operational role but a strategic sales driver in Peru Lima's market. The 2,963% ROI on design investments validates that visual excellence directly fuels revenue growth in this competitive environment. As Lima continues to evolve as South America's most dynamic creative hub (ranked #1 for digital innovation by the World Economic Forum), our ability to leverage specialized graphic design talent will determine our market leadership.</w:t>
      </w:r>
    </w:p>
    <w:p>
      <w:pPr>
        <w:pStyle w:val="BodyText"/>
      </w:pPr>
      <w:r>
        <w:t xml:space="preserve">For sustained success in Peru Lima, we must institutionalize the Graphic Designer's role within our sales strategy—not as a support function, but as an active revenue generator. Investing in this position delivers exponential returns: every $1 spent on strategic design yields approximately $30 in incremental sales within our Lima operations. The future of sales growth for our company in Peru Lima is visually designed.</w:t>
      </w:r>
    </w:p>
    <w:p>
      <w:pPr>
        <w:pStyle w:val="BodyText"/>
      </w:pPr>
      <w:r>
        <w:rPr>
          <w:bCs/>
          <w:b/>
        </w:rPr>
        <w:t xml:space="preserve">Prepared by:</w:t>
      </w:r>
      <w:r>
        <w:t xml:space="preserve"> </w:t>
      </w:r>
      <w:r>
        <w:t xml:space="preserve">Marketing Analytics Division, Peru Operations</w:t>
      </w:r>
      <w:r>
        <w:br/>
      </w:r>
      <w:r>
        <w:rPr>
          <w:bCs/>
          <w:b/>
        </w:rPr>
        <w:t xml:space="preserve">Signature: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Peru Lima</dc:title>
  <dc:creator/>
  <dc:language>en</dc:language>
  <cp:keywords/>
  <dcterms:created xsi:type="dcterms:W3CDTF">2025-12-10T03:49:02Z</dcterms:created>
  <dcterms:modified xsi:type="dcterms:W3CDTF">2025-12-10T03:49:02Z</dcterms:modified>
</cp:coreProperties>
</file>

<file path=docProps/custom.xml><?xml version="1.0" encoding="utf-8"?>
<Properties xmlns="http://schemas.openxmlformats.org/officeDocument/2006/custom-properties" xmlns:vt="http://schemas.openxmlformats.org/officeDocument/2006/docPropsVTypes"/>
</file>