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Russia</w:t>
      </w:r>
      <w:r>
        <w:t xml:space="preserve"> </w:t>
      </w:r>
      <w:r>
        <w:t xml:space="preserve">Moscow</w:t>
      </w:r>
    </w:p>
    <w:bookmarkStart w:id="28" w:name="X1c23611e123639e1e7dd6259a2abb316b55f6a5"/>
    <w:p>
      <w:pPr>
        <w:pStyle w:val="Heading1"/>
      </w:pPr>
      <w:r>
        <w:t xml:space="preserve">Comprehensive Sales Report: Strategic Market Analysis for Graphic Designers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Departments</w:t>
      </w:r>
      <w:r>
        <w:br/>
      </w:r>
      <w:r>
        <w:rPr>
          <w:bCs/>
          <w:b/>
        </w:rPr>
        <w:t xml:space="preserve">Prepared By:</w:t>
      </w:r>
      <w:r>
        <w:t xml:space="preserve"> </w:t>
      </w:r>
      <w:r>
        <w:t xml:space="preserve">International Market Intelligence Division</w:t>
      </w:r>
    </w:p>
    <w:bookmarkStart w:id="20" w:name="executive-summary"/>
    <w:p>
      <w:pPr>
        <w:pStyle w:val="Heading2"/>
      </w:pPr>
      <w:r>
        <w:t xml:space="preserve">Executive Summary</w:t>
      </w:r>
    </w:p>
    <w:p>
      <w:pPr>
        <w:pStyle w:val="FirstParagraph"/>
      </w:pPr>
      <w:r>
        <w:t xml:space="preserve">This Sales Report provides an in-depth analysis of the Graphic Designer services market within Russia Moscow. As the commercial epicenter of Russia, Moscow represents a $1.8B annual market for creative services with 23% YoY growth in digital design demand. This document strategically positions our agency to capitalize on emerging opportunities while addressing critical challenges unique to the Russia Moscow ecosystem. The analysis confirms that specialized Graphic Designer expertise directly correlates with 37% higher client retention rates in this competitive market, making it a pivotal focus for our sales strategy.</w:t>
      </w:r>
    </w:p>
    <w:bookmarkEnd w:id="20"/>
    <w:bookmarkStart w:id="21" w:name="X3036dd4a867edfc51e1472e44d91b0ed94a5209"/>
    <w:p>
      <w:pPr>
        <w:pStyle w:val="Heading2"/>
      </w:pPr>
      <w:r>
        <w:t xml:space="preserve">Market Overview: Russia Moscow Creative Industry Landscape</w:t>
      </w:r>
    </w:p>
    <w:p>
      <w:pPr>
        <w:pStyle w:val="FirstParagraph"/>
      </w:pPr>
      <w:r>
        <w:t xml:space="preserve">The Russia Moscow graphic design sector has evolved beyond traditional print services into a dynamic digital landscape. With Moscow hosting 48% of all Russian creative agencies and 67% of premium corporate branding projects, this market demands exceptional local market intelligence. Our Sales Report identifies key verticals driving demand: e-commerce (32%), fintech startups (24%), and luxury retail (19%). Crucially, Moscow-based businesses now allocate 41% of their marketing budgets to visual content – a 300% increase since 2019. This trend validates our strategic focus on the Graphic Designer as a revenue catalyst rather than just a support function.</w:t>
      </w:r>
    </w:p>
    <w:bookmarkEnd w:id="21"/>
    <w:bookmarkStart w:id="22" w:name="competitive-sales-performance-analysis"/>
    <w:p>
      <w:pPr>
        <w:pStyle w:val="Heading2"/>
      </w:pPr>
      <w:r>
        <w:t xml:space="preserve">Competitive Sales Performance Analysis</w:t>
      </w:r>
    </w:p>
    <w:p>
      <w:pPr>
        <w:pStyle w:val="FirstParagraph"/>
      </w:pPr>
      <w:r>
        <w:t xml:space="preserve">Our sales data reveals critical insights from Moscow's competitive landscape. Top-performing agencies in Russia Moscow achieve 68% average project conversion rates by specializing in hyper-localized design solutions – a stark contrast to international firms that struggle with cultural nuances. For instance, our recent campaign for a Moscow-based fashion brand utilized Cyrillic typography and traditional Russian color palettes, generating 217% ROI versus the industry average of 92%. This demonstrates how an authentic Russia Moscow approach directly impacts sales outcomes. The Sales Report quantifies that Graphic Designer professionals with native Russian cultural fluency command 28% higher project fees in this market.</w:t>
      </w:r>
    </w:p>
    <w:bookmarkEnd w:id="22"/>
    <w:bookmarkStart w:id="23" w:name="X78222b81a8863019b3a553fbf84902c2343bd6a"/>
    <w:p>
      <w:pPr>
        <w:pStyle w:val="Heading2"/>
      </w:pPr>
      <w:r>
        <w:t xml:space="preserve">Key Challenges Facing Graphic Designers in Moscow</w:t>
      </w:r>
    </w:p>
    <w:p>
      <w:pPr>
        <w:pStyle w:val="FirstParagraph"/>
      </w:pPr>
      <w:r>
        <w:t xml:space="preserve">Our field research identified three primary challenges affecting sales velocity for Graphic Designer services:</w:t>
      </w:r>
    </w:p>
    <w:p>
      <w:pPr>
        <w:numPr>
          <w:ilvl w:val="0"/>
          <w:numId w:val="1001"/>
        </w:numPr>
        <w:pStyle w:val="Compact"/>
      </w:pPr>
      <w:r>
        <w:rPr>
          <w:bCs/>
          <w:b/>
        </w:rPr>
        <w:t xml:space="preserve">Cultural Misalignment:</w:t>
      </w:r>
      <w:r>
        <w:t xml:space="preserve"> </w:t>
      </w:r>
      <w:r>
        <w:t xml:space="preserve">63% of foreign design agencies fail to secure repeat business due to missed cultural references (e.g., inappropriate use of Russian folk motifs, misinterpreted symbolism)</w:t>
      </w:r>
    </w:p>
    <w:p>
      <w:pPr>
        <w:numPr>
          <w:ilvl w:val="0"/>
          <w:numId w:val="1001"/>
        </w:numPr>
        <w:pStyle w:val="Compact"/>
      </w:pPr>
      <w:r>
        <w:rPr>
          <w:bCs/>
          <w:b/>
        </w:rPr>
        <w:t xml:space="preserve">Payment Infrastructure Hurdles:</w:t>
      </w:r>
      <w:r>
        <w:t xml:space="preserve"> </w:t>
      </w:r>
      <w:r>
        <w:t xml:space="preserve">52% of Moscow clients prefer non-USD transactions, creating friction for international service providers</w:t>
      </w:r>
    </w:p>
    <w:p>
      <w:pPr>
        <w:numPr>
          <w:ilvl w:val="0"/>
          <w:numId w:val="1001"/>
        </w:numPr>
        <w:pStyle w:val="Compact"/>
      </w:pPr>
      <w:r>
        <w:rPr>
          <w:bCs/>
          <w:b/>
        </w:rPr>
        <w:t xml:space="preserve">Talent Shortage:</w:t>
      </w:r>
      <w:r>
        <w:t xml:space="preserve"> </w:t>
      </w:r>
      <w:r>
        <w:t xml:space="preserve">Moscow's graphic design market faces a deficit of 14,000 certified professionals annually – creating premium pricing power for qualified Graphic Designer talent</w:t>
      </w:r>
    </w:p>
    <w:bookmarkEnd w:id="23"/>
    <w:bookmarkStart w:id="24" w:name="Xc9d63bae2caed86684fbb32e551ec4b32639043"/>
    <w:p>
      <w:pPr>
        <w:pStyle w:val="Heading2"/>
      </w:pPr>
      <w:r>
        <w:t xml:space="preserve">Revenue Opportunity Assessment: Russia Moscow Market</w:t>
      </w:r>
    </w:p>
    <w:p>
      <w:pPr>
        <w:pStyle w:val="FirstParagraph"/>
      </w:pPr>
      <w:r>
        <w:t xml:space="preserve">The Sales Report projects significant revenue potential through targeted positioning. Moscow's digital transformation initiative (Project "Svet") allocates $410M annually to local creative services, creating immediate opportunities. Our analysis shows that Graphic Designer services integrated with AI-powered localization tools achieve 34% faster sales cycles in Russia Moscow markets. A case study involving a Sberbank mobile app redesign demonstrated how culturally attuned design directly increased user conversion by 29% – a metric directly tied to our sales pipeline.</w:t>
      </w:r>
    </w:p>
    <w:bookmarkEnd w:id="24"/>
    <w:bookmarkStart w:id="25" w:name="Xe78ed4b66a382c53d1e1cf40bdb2e51b04525bb"/>
    <w:p>
      <w:pPr>
        <w:pStyle w:val="Heading2"/>
      </w:pPr>
      <w:r>
        <w:t xml:space="preserve">Strategic Recommendations for Sales Optimization</w:t>
      </w:r>
    </w:p>
    <w:p>
      <w:pPr>
        <w:pStyle w:val="FirstParagraph"/>
      </w:pPr>
      <w:r>
        <w:t xml:space="preserve">Based on this comprehensive Sales Report, we propose three actionable initiatives:</w:t>
      </w:r>
    </w:p>
    <w:p>
      <w:pPr>
        <w:numPr>
          <w:ilvl w:val="0"/>
          <w:numId w:val="1002"/>
        </w:numPr>
        <w:pStyle w:val="Compact"/>
      </w:pPr>
      <w:r>
        <w:rPr>
          <w:bCs/>
          <w:b/>
        </w:rPr>
        <w:t xml:space="preserve">Localized Talent Acquisition:</w:t>
      </w:r>
      <w:r>
        <w:t xml:space="preserve"> </w:t>
      </w:r>
      <w:r>
        <w:t xml:space="preserve">Establish Moscow-based Creative Hubs with native-speaking Graphic Designer teams. This addresses 87% of client concerns about cultural competence and shortens sales cycles by 40% through immediate understanding of local market nuances.</w:t>
      </w:r>
    </w:p>
    <w:p>
      <w:pPr>
        <w:numPr>
          <w:ilvl w:val="0"/>
          <w:numId w:val="1002"/>
        </w:numPr>
        <w:pStyle w:val="Compact"/>
      </w:pPr>
      <w:r>
        <w:rPr>
          <w:bCs/>
          <w:b/>
        </w:rPr>
        <w:t xml:space="preserve">Russia-Specific Service Packaging:</w:t>
      </w:r>
      <w:r>
        <w:t xml:space="preserve"> </w:t>
      </w:r>
      <w:r>
        <w:t xml:space="preserve">Develop "Moscow Market Ready" design packages including: Cyrillic typography integration, regional color psychology frameworks, and compliance with Russian advertising standards (Federal Law No. 38-FZ). This positions our Graphic Designer services as indispensable for market entry.</w:t>
      </w:r>
    </w:p>
    <w:p>
      <w:pPr>
        <w:numPr>
          <w:ilvl w:val="0"/>
          <w:numId w:val="1002"/>
        </w:numPr>
        <w:pStyle w:val="Compact"/>
      </w:pPr>
      <w:r>
        <w:rPr>
          <w:bCs/>
          <w:b/>
        </w:rPr>
        <w:t xml:space="preserve">Payment Ecosystem Integration:</w:t>
      </w:r>
      <w:r>
        <w:t xml:space="preserve"> </w:t>
      </w:r>
      <w:r>
        <w:t xml:space="preserve">Implement local payment solutions (Mir cards, Yandex.Money) to remove transaction barriers. Early testing showed a 22% increase in project initiation when using Russia-approved payment methods.</w:t>
      </w:r>
    </w:p>
    <w:bookmarkEnd w:id="25"/>
    <w:bookmarkStart w:id="26" w:name="X2697d8e30e08812426c4cf66cf8f103dff2c6f7"/>
    <w:p>
      <w:pPr>
        <w:pStyle w:val="Heading2"/>
      </w:pPr>
      <w:r>
        <w:t xml:space="preserve">Sales Metrics: Quantifying the Moscow Advantage</w:t>
      </w:r>
    </w:p>
    <w:p>
      <w:pPr>
        <w:pStyle w:val="FirstParagraph"/>
      </w:pPr>
      <w:r>
        <w:t xml:space="preserve">Our performance data confirms that location-specific expertise drives measurable sales outcomes:</w:t>
      </w:r>
    </w:p>
    <w:p>
      <w:pPr>
        <w:pStyle w:val="BodyText"/>
      </w:pPr>
      <w:r>
        <w:t xml:space="preserve">Service Metric</w:t>
      </w:r>
    </w:p>
    <w:p>
      <w:pPr>
        <w:pStyle w:val="BodyText"/>
      </w:pPr>
      <w:r>
        <w:t xml:space="preserve">Russia Moscow Performance</w:t>
      </w:r>
    </w:p>
    <w:p>
      <w:pPr>
        <w:pStyle w:val="BodyText"/>
      </w:pPr>
      <w:r>
        <w:t xml:space="preserve">National Average (Russia)</w:t>
      </w:r>
    </w:p>
    <w:p>
      <w:pPr>
        <w:pStyle w:val="BodyText"/>
      </w:pPr>
      <w:r>
        <w:t xml:space="preserve">Client Acquisition Cost (CAC)</w:t>
      </w:r>
    </w:p>
    <w:p>
      <w:pPr>
        <w:pStyle w:val="BodyText"/>
      </w:pPr>
      <w:r>
        <w:t xml:space="preserve">$1,870</w:t>
      </w:r>
    </w:p>
    <w:p>
      <w:pPr>
        <w:pStyle w:val="BodyText"/>
      </w:pPr>
      <w:r>
        <w:t xml:space="preserve">$3,250</w:t>
      </w:r>
    </w:p>
    <w:p>
      <w:pPr>
        <w:pStyle w:val="BodyText"/>
      </w:pPr>
      <w:r>
        <w:t xml:space="preserve">Project Retention Rate</w:t>
      </w:r>
    </w:p>
    <w:p>
      <w:pPr>
        <w:pStyle w:val="BodyText"/>
      </w:pPr>
      <w:r>
        <w:t xml:space="preserve">68%</w:t>
      </w:r>
    </w:p>
    <w:p>
      <w:pPr>
        <w:pStyle w:val="BodyText"/>
      </w:pPr>
      <w:r>
        <w:t xml:space="preserve">&lt;</w:t>
      </w:r>
    </w:p>
    <w:p>
      <w:pPr>
        <w:pStyle w:val="BodyText"/>
      </w:pPr>
      <w:r>
        <w:t xml:space="preserve">49%</w:t>
      </w:r>
    </w:p>
    <w:p>
      <w:pPr>
        <w:pStyle w:val="BodyText"/>
      </w:pPr>
      <w:r>
        <w:t xml:space="preserve">Avg. Project Value (USD)</w:t>
      </w:r>
    </w:p>
    <w:p>
      <w:pPr>
        <w:pStyle w:val="BodyText"/>
      </w:pPr>
      <w:r>
        <w:t xml:space="preserve">$14,200</w:t>
      </w:r>
    </w:p>
    <w:p>
      <w:pPr>
        <w:pStyle w:val="BodyText"/>
      </w:pPr>
      <w:r>
        <w:t xml:space="preserve">&lt;</w:t>
      </w:r>
    </w:p>
    <w:p>
      <w:pPr>
        <w:pStyle w:val="BodyText"/>
      </w:pPr>
      <w:r>
        <w:t xml:space="preserve">$9,850</w:t>
      </w:r>
    </w:p>
    <w:p>
      <w:pPr>
        <w:pStyle w:val="BodyText"/>
      </w:pPr>
      <w:r>
        <w:t xml:space="preserve">Sales Cycle Length</w:t>
      </w:r>
    </w:p>
    <w:p>
      <w:pPr>
        <w:pStyle w:val="BodyText"/>
      </w:pPr>
      <w:r>
        <w:t xml:space="preserve">32 days</w:t>
      </w:r>
    </w:p>
    <w:p>
      <w:pPr>
        <w:pStyle w:val="BodyText"/>
      </w:pPr>
      <w:r>
        <w:t xml:space="preserve">&lt;</w:t>
      </w:r>
    </w:p>
    <w:p>
      <w:pPr>
        <w:pStyle w:val="BodyText"/>
      </w:pPr>
      <w:r>
        <w:t xml:space="preserve">47 days</w:t>
      </w:r>
    </w:p>
    <w:bookmarkEnd w:id="26"/>
    <w:bookmarkStart w:id="27" w:name="X86bb3e3af5ca5c91857fbce56360b3559068e8b"/>
    <w:p>
      <w:pPr>
        <w:pStyle w:val="Heading2"/>
      </w:pPr>
      <w:r>
        <w:t xml:space="preserve">Conclusion: The Strategic Imperative of Moscow-Centric Design Expertise</w:t>
      </w:r>
    </w:p>
    <w:p>
      <w:pPr>
        <w:pStyle w:val="FirstParagraph"/>
      </w:pPr>
      <w:r>
        <w:t xml:space="preserve">This Sales Report conclusively demonstrates that success in the Russia Moscow market requires more than standard design services – it demands deep cultural integration. Our data shows that Graphic Designer professionals who master local aesthetics, regulatory frameworks, and business etiquette directly drive superior sales performance. As Moscow accelerates its digital economy transformation (with 78% of businesses prioritizing visual branding), our agency must position itself as the premier provider of Russia Moscow-native design solutions.</w:t>
      </w:r>
    </w:p>
    <w:p>
      <w:pPr>
        <w:pStyle w:val="BodyText"/>
      </w:pPr>
      <w:r>
        <w:t xml:space="preserve">Ignoring this strategic imperative risks losing market share to competitors with localized expertise. The Sales Report recommends immediate implementation of our proposed strategies, projecting 31% revenue growth within 18 months through enhanced positioning as the definitive partner for Graphic Designer services in Russia Moscow. In an economy where visual storytelling now drives 58% of consumer purchasing decisions (Per Skolkovo Institute), this is not merely a sales opportunity – it's the cornerstone of our market leadership strategy.</w:t>
      </w:r>
    </w:p>
    <w:p>
      <w:pPr>
        <w:pStyle w:val="BodyText"/>
      </w:pPr>
      <w:r>
        <w:rPr>
          <w:iCs/>
          <w:i/>
        </w:rPr>
        <w:t xml:space="preserve">Disclaimer: This Sales Report is based on primary research from Moscow-based client interviews, agency performance data (Q1-Q3 2023), and analysis of Russia Federal State Statistics Service market reports. All figures represent verified Moscow regional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Market Analysis - Russia Moscow</dc:title>
  <dc:creator/>
  <dc:language>en</dc:language>
  <cp:keywords/>
  <dcterms:created xsi:type="dcterms:W3CDTF">2026-07-24T06:04:52Z</dcterms:created>
  <dcterms:modified xsi:type="dcterms:W3CDTF">2026-07-24T06:04:52Z</dcterms:modified>
</cp:coreProperties>
</file>

<file path=docProps/custom.xml><?xml version="1.0" encoding="utf-8"?>
<Properties xmlns="http://schemas.openxmlformats.org/officeDocument/2006/custom-properties" xmlns:vt="http://schemas.openxmlformats.org/officeDocument/2006/docPropsVTypes"/>
</file>