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Singapore</w:t>
      </w:r>
    </w:p>
    <w:bookmarkStart w:id="26" w:name="X73c4f6a83bf42e1ce9092c75bcb046124585882"/>
    <w:p>
      <w:pPr>
        <w:pStyle w:val="Heading1"/>
      </w:pPr>
      <w:r>
        <w:t xml:space="preserve">Comprehensive Sales Report: Graphic Designer Impact on Market Growth in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Singapore Marketing Division</w:t>
      </w:r>
      <w:r>
        <w:br/>
      </w:r>
      <w:r>
        <w:rPr>
          <w:bCs/>
          <w:b/>
        </w:rPr>
        <w:t xml:space="preserve">Report Type:</w:t>
      </w:r>
      <w:r>
        <w:t xml:space="preserve"> </w:t>
      </w:r>
      <w:r>
        <w:t xml:space="preserve">Quarterly Performance Analysis - Graphic Designer Sales Impact</w:t>
      </w:r>
    </w:p>
    <w:bookmarkStart w:id="20" w:name="i.-executive-summary"/>
    <w:p>
      <w:pPr>
        <w:pStyle w:val="Heading2"/>
      </w:pPr>
      <w:r>
        <w:t xml:space="preserve">I. Executive Summary</w:t>
      </w:r>
    </w:p>
    <w:p>
      <w:pPr>
        <w:pStyle w:val="FirstParagraph"/>
      </w:pPr>
      <w:r>
        <w:t xml:space="preserve">This Sales Report examines the critical role of the Graphic Designer within our Singapore operations, analyzing how visual communication strategies directly influence sales conversion rates and brand equity. In the highly competitive Singapore market, where 78% of consumers make purchase decisions based on visual content (Singapore Marketing Association, Q3 2023), our Graphic Design team has emerged as a strategic sales driver rather than a support function. This report confirms that effective Graphic Designer execution correlates with a 23% higher average order value and 19% faster customer acquisition cycles across all Singaporean market segments.</w:t>
      </w:r>
    </w:p>
    <w:bookmarkEnd w:id="20"/>
    <w:bookmarkStart w:id="21" w:name="Xa36213dde64cacf7fc1ac70f3d2640aa0fc0f2b"/>
    <w:p>
      <w:pPr>
        <w:pStyle w:val="Heading2"/>
      </w:pPr>
      <w:r>
        <w:t xml:space="preserve">II. Singapore Market Context &amp; Visual Consumer Behavior</w:t>
      </w:r>
    </w:p>
    <w:p>
      <w:pPr>
        <w:pStyle w:val="FirstParagraph"/>
      </w:pPr>
      <w:r>
        <w:t xml:space="preserve">Singapore's digital landscape presents unique opportunities for Graphic Designer impact. With a smartphone penetration rate of 95% and social media usage exceeding 87% (Statista, Singapore Digital Trends 2023), visual content is non-negotiable in sales conversion. Our data shows that campaigns incorporating bespoke Graphic Designer assets achieve:</w:t>
      </w:r>
    </w:p>
    <w:p>
      <w:pPr>
        <w:numPr>
          <w:ilvl w:val="0"/>
          <w:numId w:val="1001"/>
        </w:numPr>
        <w:pStyle w:val="Compact"/>
      </w:pPr>
      <w:r>
        <w:t xml:space="preserve">42% higher click-through rates on digital ads</w:t>
      </w:r>
    </w:p>
    <w:p>
      <w:pPr>
        <w:numPr>
          <w:ilvl w:val="0"/>
          <w:numId w:val="1001"/>
        </w:numPr>
        <w:pStyle w:val="Compact"/>
      </w:pPr>
      <w:r>
        <w:t xml:space="preserve">31% longer average website session duration</w:t>
      </w:r>
    </w:p>
    <w:p>
      <w:pPr>
        <w:numPr>
          <w:ilvl w:val="0"/>
          <w:numId w:val="1001"/>
        </w:numPr>
        <w:pStyle w:val="Compact"/>
      </w:pPr>
      <w:r>
        <w:t xml:space="preserve">56% improved brand recall in post-campaign surveys</w:t>
      </w:r>
    </w:p>
    <w:p>
      <w:pPr>
        <w:pStyle w:val="FirstParagraph"/>
      </w:pPr>
      <w:r>
        <w:t xml:space="preserve">In Singapore's multicultural market (Chinese 74%, Malay 13%, Indian 9%), our Graphic Designer team has successfully implemented culturally nuanced visuals that resonate across ethnic groups. For example, the recent "Singapore Heritage" campaign by our Graphic Designer unit increased sales in the Kallang district by 28% through culturally relevant visual storytelling, demonstrating how localized design drives tangible sales outcomes.</w:t>
      </w:r>
    </w:p>
    <w:bookmarkEnd w:id="21"/>
    <w:bookmarkStart w:id="22" w:name="X2f8234efd02754e2a7cfb87aaa0416a44a727de"/>
    <w:p>
      <w:pPr>
        <w:pStyle w:val="Heading2"/>
      </w:pPr>
      <w:r>
        <w:t xml:space="preserve">III. Sales Performance Metrics: Graphic Designer Impact</w:t>
      </w:r>
    </w:p>
    <w:p>
      <w:pPr>
        <w:pStyle w:val="FirstParagraph"/>
      </w:pPr>
      <w:r>
        <w:t xml:space="preserve">Analysis of our Singapore operations reveals the direct correlation between Graphic Designer output quality and revenue generation: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With Standard Design</w:t>
            </w:r>
          </w:p>
        </w:tc>
        <w:tc>
          <w:tcPr/>
          <w:p>
            <w:pPr>
              <w:pStyle w:val="Compact"/>
              <w:jc w:val="left"/>
            </w:pPr>
            <w:r>
              <w:t xml:space="preserve">With Premium Graphic Designer Execution</w:t>
            </w:r>
          </w:p>
        </w:tc>
        <w:tc>
          <w:tcPr/>
          <w:p>
            <w:pPr>
              <w:pStyle w:val="Compact"/>
              <w:jc w:val="left"/>
            </w:pPr>
            <w:r>
              <w:t xml:space="preserve">% Improvement</w:t>
            </w:r>
          </w:p>
        </w:tc>
      </w:tr>
      <w:tr>
        <w:tc>
          <w:tcPr/>
          <w:p>
            <w:pPr>
              <w:pStyle w:val="Compact"/>
              <w:jc w:val="left"/>
            </w:pPr>
            <w:r>
              <w:t xml:space="preserve">Lead Conversion Rate (Digital)</w:t>
            </w:r>
          </w:p>
        </w:tc>
        <w:tc>
          <w:tcPr/>
          <w:p>
            <w:pPr>
              <w:pStyle w:val="Compact"/>
              <w:jc w:val="left"/>
            </w:pPr>
            <w:r>
              <w:t xml:space="preserve">6.2%</w:t>
            </w:r>
          </w:p>
        </w:tc>
        <w:tc>
          <w:tcPr/>
          <w:p>
            <w:pPr>
              <w:pStyle w:val="Compact"/>
              <w:jc w:val="left"/>
            </w:pPr>
            <w:r>
              <w:t xml:space="preserve">9.8%</w:t>
            </w:r>
          </w:p>
        </w:tc>
        <w:tc>
          <w:tcPr/>
          <w:p>
            <w:pPr>
              <w:pStyle w:val="Compact"/>
              <w:jc w:val="left"/>
            </w:pPr>
            <w:r>
              <w:t xml:space="preserve">+57.1%</w:t>
            </w:r>
          </w:p>
        </w:tc>
      </w:tr>
      <w:tr>
        <w:tc>
          <w:tcPr/>
          <w:p>
            <w:pPr>
              <w:pStyle w:val="Compact"/>
              <w:jc w:val="left"/>
            </w:pPr>
            <w:r>
              <w:t xml:space="preserve">Average Order Value</w:t>
            </w:r>
          </w:p>
        </w:tc>
        <w:tc>
          <w:tcPr/>
          <w:p>
            <w:pPr>
              <w:pStyle w:val="Compact"/>
              <w:jc w:val="left"/>
            </w:pPr>
            <w:r>
              <w:t xml:space="preserve">S$124</w:t>
            </w:r>
          </w:p>
        </w:tc>
        <w:tc>
          <w:tcPr/>
          <w:p>
            <w:pPr>
              <w:pStyle w:val="Compact"/>
              <w:jc w:val="left"/>
            </w:pPr>
            <w:r>
              <w:t xml:space="preserve">S$153</w:t>
            </w:r>
          </w:p>
        </w:tc>
        <w:tc>
          <w:tcPr/>
          <w:p>
            <w:pPr>
              <w:pStyle w:val="Compact"/>
              <w:jc w:val="left"/>
            </w:pPr>
            <w:r>
              <w:t xml:space="preserve">+23.4%</w:t>
            </w:r>
          </w:p>
        </w:tc>
      </w:tr>
      <w:tr>
        <w:tc>
          <w:tcPr/>
          <w:p>
            <w:pPr>
              <w:pStyle w:val="Compact"/>
              <w:jc w:val="left"/>
            </w:pPr>
            <w:r>
              <w:t xml:space="preserve">Customer Retention (6 months)</w:t>
            </w:r>
          </w:p>
        </w:tc>
        <w:tc>
          <w:tcPr/>
          <w:p>
            <w:pPr>
              <w:pStyle w:val="Compact"/>
              <w:jc w:val="left"/>
            </w:pPr>
            <w:r>
              <w:t xml:space="preserve">68%</w:t>
            </w:r>
          </w:p>
        </w:tc>
        <w:tc>
          <w:tcPr/>
          <w:p>
            <w:pPr>
              <w:pStyle w:val="Compact"/>
              <w:jc w:val="left"/>
            </w:pPr>
            <w:r>
              <w:t xml:space="preserve">82%</w:t>
            </w:r>
          </w:p>
        </w:tc>
        <w:tc>
          <w:tcPr/>
          <w:p>
            <w:pPr>
              <w:pStyle w:val="Compact"/>
              <w:jc w:val="left"/>
            </w:pPr>
            <w:r>
              <w:t xml:space="preserve">+20.6%</w:t>
            </w:r>
          </w:p>
        </w:tc>
      </w:tr>
    </w:tbl>
    <w:p>
      <w:pPr>
        <w:pStyle w:val="BodyText"/>
      </w:pPr>
      <w:r>
        <w:t xml:space="preserve">The Singapore Sales Report confirms that every S$1 invested in premium Graphic Designer services generates S$4.73 in additional revenue through improved customer engagement and perceived value—significantly outperforming other marketing channels.</w:t>
      </w:r>
    </w:p>
    <w:bookmarkEnd w:id="22"/>
    <w:bookmarkStart w:id="23" w:name="Xfb1136339bafdd0bb95c7de1d6319c36461bfaa"/>
    <w:p>
      <w:pPr>
        <w:pStyle w:val="Heading2"/>
      </w:pPr>
      <w:r>
        <w:t xml:space="preserve">IV. Key Challenges Facing Singapore's Graphic Designer Team</w:t>
      </w:r>
    </w:p>
    <w:p>
      <w:pPr>
        <w:pStyle w:val="FirstParagraph"/>
      </w:pPr>
      <w:r>
        <w:t xml:space="preserve">Despite strong results, our Singapore Graphic Designer unit faces unique market pressures:</w:t>
      </w:r>
    </w:p>
    <w:p>
      <w:pPr>
        <w:numPr>
          <w:ilvl w:val="0"/>
          <w:numId w:val="1002"/>
        </w:numPr>
        <w:pStyle w:val="Compact"/>
      </w:pPr>
      <w:r>
        <w:rPr>
          <w:bCs/>
          <w:b/>
        </w:rPr>
        <w:t xml:space="preserve">Cultural Sensitivity Requirements:</w:t>
      </w:r>
      <w:r>
        <w:t xml:space="preserve"> </w:t>
      </w:r>
      <w:r>
        <w:t xml:space="preserve">Designing for Singapore's diverse ethnic groups requires deeper cultural understanding than global markets. A recent campaign using Western-centric visuals in Malay-majority neighborhoods resulted in 15% lower engagement, highlighting the need for hyper-localized Graphic Designer workflows.</w:t>
      </w:r>
    </w:p>
    <w:p>
      <w:pPr>
        <w:numPr>
          <w:ilvl w:val="0"/>
          <w:numId w:val="1002"/>
        </w:numPr>
        <w:pStyle w:val="Compact"/>
      </w:pPr>
      <w:r>
        <w:rPr>
          <w:bCs/>
          <w:b/>
        </w:rPr>
        <w:t xml:space="preserve">Competitive Pace:</w:t>
      </w:r>
      <w:r>
        <w:t xml:space="preserve"> </w:t>
      </w:r>
      <w:r>
        <w:t xml:space="preserve">The Singapore market demands rapid design iteration. Our average time-to-market for new assets (14 days) lags behind competitors (7 days), impacting sales momentum during peak seasons like National Day and Chinese New Year.</w:t>
      </w:r>
    </w:p>
    <w:p>
      <w:pPr>
        <w:numPr>
          <w:ilvl w:val="0"/>
          <w:numId w:val="1002"/>
        </w:numPr>
        <w:pStyle w:val="Compact"/>
      </w:pPr>
      <w:r>
        <w:rPr>
          <w:bCs/>
          <w:b/>
        </w:rPr>
        <w:t xml:space="preserve">Tech Stack Limitations:</w:t>
      </w:r>
      <w:r>
        <w:t xml:space="preserve"> </w:t>
      </w:r>
      <w:r>
        <w:t xml:space="preserve">Outdated design software in our Singapore office reduces Graphic Designer productivity by 22% compared to regional peers, directly affecting sales campaign agility.</w:t>
      </w:r>
    </w:p>
    <w:bookmarkEnd w:id="23"/>
    <w:bookmarkStart w:id="24" w:name="X6553164e5327237c9234fd0e9ddad40f59e3b99"/>
    <w:p>
      <w:pPr>
        <w:pStyle w:val="Heading2"/>
      </w:pPr>
      <w:r>
        <w:t xml:space="preserve">V. Strategic Recommendations for Singapore Operations</w:t>
      </w:r>
    </w:p>
    <w:p>
      <w:pPr>
        <w:pStyle w:val="FirstParagraph"/>
      </w:pPr>
      <w:r>
        <w:t xml:space="preserve">To maximize the Sales Report impact of our Graphic Designer function in Singapore, we propose three priority initiatives:</w:t>
      </w:r>
    </w:p>
    <w:p>
      <w:pPr>
        <w:numPr>
          <w:ilvl w:val="0"/>
          <w:numId w:val="1003"/>
        </w:numPr>
        <w:pStyle w:val="Compact"/>
      </w:pPr>
      <w:r>
        <w:rPr>
          <w:bCs/>
          <w:b/>
        </w:rPr>
        <w:t xml:space="preserve">Localized Design Studio in Jurong East:</w:t>
      </w:r>
      <w:r>
        <w:t xml:space="preserve"> </w:t>
      </w:r>
      <w:r>
        <w:t xml:space="preserve">Establish a dedicated Graphics Studio within our Singapore headquarters to enable real-time collaboration with sales teams. This would reduce asset creation time by 40% and allow for immediate campaign adjustments based on live sales data from our Singapore markets.</w:t>
      </w:r>
    </w:p>
    <w:p>
      <w:pPr>
        <w:numPr>
          <w:ilvl w:val="0"/>
          <w:numId w:val="1003"/>
        </w:numPr>
        <w:pStyle w:val="Compact"/>
      </w:pPr>
      <w:r>
        <w:rPr>
          <w:bCs/>
          <w:b/>
        </w:rPr>
        <w:t xml:space="preserve">Cultural Competency Certification Program:</w:t>
      </w:r>
      <w:r>
        <w:t xml:space="preserve"> </w:t>
      </w:r>
      <w:r>
        <w:t xml:space="preserve">Partner with Nanyang Technological University (NTU) to develop a certified Graphic Designer training program focused on Singaporean cultural nuances. This addresses the critical need for culturally intelligent design in our Sales Report metrics, directly improving engagement rates across all demographic segments.</w:t>
      </w:r>
    </w:p>
    <w:p>
      <w:pPr>
        <w:numPr>
          <w:ilvl w:val="0"/>
          <w:numId w:val="1003"/>
        </w:numPr>
        <w:pStyle w:val="Compact"/>
      </w:pPr>
      <w:r>
        <w:rPr>
          <w:bCs/>
          <w:b/>
        </w:rPr>
        <w:t xml:space="preserve">AI-Powered Design Assistant Implementation:</w:t>
      </w:r>
      <w:r>
        <w:t xml:space="preserve"> </w:t>
      </w:r>
      <w:r>
        <w:t xml:space="preserve">Deploy Adobe Sensei integrated with our Singapore sales CRM to enable Graphic Designer teams to generate market-specific assets 3x faster. Early pilot data shows this could increase conversion rates by an additional 18% in high-competition segments like F&amp;B and retail.</w:t>
      </w:r>
    </w:p>
    <w:bookmarkEnd w:id="24"/>
    <w:bookmarkStart w:id="25" w:name="X4656f0ae4b280fd7cd4fe7008ce03af85fd8651"/>
    <w:p>
      <w:pPr>
        <w:pStyle w:val="Heading2"/>
      </w:pPr>
      <w:r>
        <w:t xml:space="preserve">VI. Conclusion: The Indispensable Role of the Singapore Graphic Designer</w:t>
      </w:r>
    </w:p>
    <w:p>
      <w:pPr>
        <w:pStyle w:val="FirstParagraph"/>
      </w:pPr>
      <w:r>
        <w:t xml:space="preserve">This Sales Report unequivocally establishes that the Graphic Designer is not merely an internal support role but a core revenue generator in our Singapore operations. As digital saturation intensifies across Southeast Asia, visual storytelling has become our most potent sales tool. The data confirms that exceptional Graphic Designer execution directly correlates with market share growth in Singapore—where 89% of B2B buyers prioritize visual content during purchasing decisions (Singapore Business Review, Sept 2023).</w:t>
      </w:r>
    </w:p>
    <w:p>
      <w:pPr>
        <w:pStyle w:val="BodyText"/>
      </w:pPr>
      <w:r>
        <w:t xml:space="preserve">Our proposed strategic investments will position the Singapore Graphic Designer team to drive an estimated S$1.7M annual revenue increase by Q1 2024. We recommend immediate approval of the Jurong East Design Studio and Cultural Competency Program, as these initiatives represent the most efficient leverage point for sales growth in our Singapore market. In today's visual-first economy, a skilled Graphic Designer isn't just part of the marketing team—they're at the very heart of our sales engine in Singapore.</w:t>
      </w:r>
    </w:p>
    <w:p>
      <w:pPr>
        <w:pStyle w:val="BodyText"/>
      </w:pPr>
      <w:r>
        <w:rPr>
          <w:bCs/>
          <w:b/>
        </w:rPr>
        <w:t xml:space="preserve">Prepared By:</w:t>
      </w:r>
      <w:r>
        <w:t xml:space="preserve"> </w:t>
      </w:r>
      <w:r>
        <w:t xml:space="preserve">Marketing Analytics Division</w:t>
      </w:r>
      <w:r>
        <w:br/>
      </w:r>
      <w:r>
        <w:rPr>
          <w:bCs/>
          <w:b/>
        </w:rPr>
        <w:t xml:space="preserve">Contact:</w:t>
      </w:r>
      <w:r>
        <w:t xml:space="preserve"> </w:t>
      </w:r>
      <w:r>
        <w:t xml:space="preserve">analytics@company.sg | +65 6500 1234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Singapore</dc:title>
  <dc:creator/>
  <dc:language>en</dc:language>
  <cp:keywords/>
  <dcterms:created xsi:type="dcterms:W3CDTF">2025-12-11T14:25:19Z</dcterms:created>
  <dcterms:modified xsi:type="dcterms:W3CDTF">2025-12-11T14:25:19Z</dcterms:modified>
</cp:coreProperties>
</file>

<file path=docProps/custom.xml><?xml version="1.0" encoding="utf-8"?>
<Properties xmlns="http://schemas.openxmlformats.org/officeDocument/2006/custom-properties" xmlns:vt="http://schemas.openxmlformats.org/officeDocument/2006/docPropsVTypes"/>
</file>