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in</w:t>
      </w:r>
      <w:r>
        <w:t xml:space="preserve"> </w:t>
      </w:r>
      <w:r>
        <w:t xml:space="preserve">Turkey</w:t>
      </w:r>
      <w:r>
        <w:t xml:space="preserve"> </w:t>
      </w:r>
      <w:r>
        <w:t xml:space="preserve">Istanbul</w:t>
      </w:r>
      <w:r>
        <w:t xml:space="preserve"> </w:t>
      </w:r>
      <w:r>
        <w:t xml:space="preserve">Market</w:t>
      </w:r>
    </w:p>
    <w:bookmarkStart w:id="29" w:name="Xa6af182a9c7c99050d4ad5f1b4af710e42e54cc"/>
    <w:p>
      <w:pPr>
        <w:pStyle w:val="Heading1"/>
      </w:pPr>
      <w:r>
        <w:t xml:space="preserve">Comprehensive Sales Report: Graphic Designer Performance in Istanbul, Turkey (Q3 2023)</w:t>
      </w:r>
    </w:p>
    <w:bookmarkStart w:id="20" w:name="executive-summary"/>
    <w:p>
      <w:pPr>
        <w:pStyle w:val="Heading2"/>
      </w:pPr>
      <w:r>
        <w:t xml:space="preserve">Executive Summary</w:t>
      </w:r>
    </w:p>
    <w:p>
      <w:pPr>
        <w:pStyle w:val="FirstParagraph"/>
      </w:pPr>
      <w:r>
        <w:t xml:space="preserve">This report details the performance metrics, market analysis, and strategic insights for our Graphic Design services within the dynamic commercial landscape of Istanbul, Turkey. As a leading design agency operating since 2018 in the heart of Istanbul's business district (Levent/Şişli), we've witnessed unprecedented demand for visual storytelling solutions that drive sales conversions. The Q3 2023 sales cycle confirmed graphic design as the single most impactful marketing channel for our Turkish clients, generating 47% of total revenue—a 19% YoY increase. This report validates Istanbul's position as Turkey's creative capital and outlines actionable strategies to capitalize on this growth trajectory.</w:t>
      </w:r>
    </w:p>
    <w:bookmarkEnd w:id="20"/>
    <w:bookmarkStart w:id="21" w:name="X72ab91bbd3b7f3655e358ec8d412a0c145d22ad"/>
    <w:p>
      <w:pPr>
        <w:pStyle w:val="Heading2"/>
      </w:pPr>
      <w:r>
        <w:t xml:space="preserve">Market Context: Istanbul's Design-Driven Economy</w:t>
      </w:r>
    </w:p>
    <w:p>
      <w:pPr>
        <w:pStyle w:val="FirstParagraph"/>
      </w:pPr>
      <w:r>
        <w:t xml:space="preserve">Istanbul represents 38% of Turkey's total creative industry revenue (Turkish Statistical Institute, 2023), with graphic design services experiencing a 24.7% annual growth rate. The city's unique blend of historic cultural assets and modern commerce creates exceptional demand for visual identities that bridge traditional Turkish aesthetics with global market standards. Our sales data reveals three critical Istanbul-specific trends:</w:t>
      </w:r>
    </w:p>
    <w:p>
      <w:pPr>
        <w:numPr>
          <w:ilvl w:val="0"/>
          <w:numId w:val="1001"/>
        </w:numPr>
        <w:pStyle w:val="Compact"/>
      </w:pPr>
      <w:r>
        <w:rPr>
          <w:bCs/>
          <w:b/>
        </w:rPr>
        <w:t xml:space="preserve">Local Brand Localization:</w:t>
      </w:r>
      <w:r>
        <w:t xml:space="preserve"> </w:t>
      </w:r>
      <w:r>
        <w:t xml:space="preserve">68% of Istanbul-based SMEs require culturally nuanced designs (e.g., incorporating Ottoman patterns in digital ads for luxury tourism clients)</w:t>
      </w:r>
    </w:p>
    <w:p>
      <w:pPr>
        <w:numPr>
          <w:ilvl w:val="0"/>
          <w:numId w:val="1001"/>
        </w:numPr>
        <w:pStyle w:val="Compact"/>
      </w:pPr>
      <w:r>
        <w:rPr>
          <w:bCs/>
          <w:b/>
        </w:rPr>
        <w:t xml:space="preserve">E-commerce Acceleration:</w:t>
      </w:r>
      <w:r>
        <w:t xml:space="preserve"> </w:t>
      </w:r>
      <w:r>
        <w:t xml:space="preserve">52% of sales generated from Shopify store redesigns and social media visual bundles driven by Istanbul's booming online retail sector</w:t>
      </w:r>
    </w:p>
    <w:p>
      <w:pPr>
        <w:numPr>
          <w:ilvl w:val="0"/>
          <w:numId w:val="1001"/>
        </w:numPr>
        <w:pStyle w:val="Compact"/>
      </w:pPr>
      <w:r>
        <w:rPr>
          <w:bCs/>
          <w:b/>
        </w:rPr>
        <w:t xml:space="preserve">Regulatory Compliance:</w:t>
      </w:r>
      <w:r>
        <w:t xml:space="preserve"> </w:t>
      </w:r>
      <w:r>
        <w:t xml:space="preserve">Mandatory Turkish-language adaptations for all visual content (per Ministry of Commerce guidelines) created 33% more design iterations per project versus international markets</w:t>
      </w:r>
    </w:p>
    <w:bookmarkEnd w:id="21"/>
    <w:bookmarkStart w:id="22" w:name="X897499af73f0b5b83bfdb7f161feba4d7af6d34"/>
    <w:p>
      <w:pPr>
        <w:pStyle w:val="Heading2"/>
      </w:pPr>
      <w:r>
        <w:t xml:space="preserve">Sales Performance Breakdown: Graphic Designer Impact Analysis</w:t>
      </w:r>
    </w:p>
    <w:p>
      <w:pPr>
        <w:pStyle w:val="FirstParagraph"/>
      </w:pPr>
      <w:r>
        <w:t xml:space="preserve">The Graphic Designer role directly contributed to 187 sales cycles this quarter, with a remarkable 89% client retention rate. Below is the performance matrix:</w:t>
      </w:r>
    </w:p>
    <w:p>
      <w:pPr>
        <w:pStyle w:val="BodyText"/>
      </w:pPr>
      <w:r>
        <w:t xml:space="preserve">Service Category</w:t>
      </w:r>
    </w:p>
    <w:p>
      <w:pPr>
        <w:pStyle w:val="BodyText"/>
      </w:pPr>
      <w:r>
        <w:t xml:space="preserve">Avg. Project Value (TRY)</w:t>
      </w:r>
    </w:p>
    <w:p>
      <w:pPr>
        <w:pStyle w:val="BodyText"/>
      </w:pPr>
      <w:r>
        <w:t xml:space="preserve">YoY Growth</w:t>
      </w:r>
    </w:p>
    <w:p>
      <w:pPr>
        <w:pStyle w:val="BodyText"/>
      </w:pPr>
      <w:r>
        <w:t xml:space="preserve">Istanbul-Specific Demand Drivers</w:t>
      </w:r>
    </w:p>
    <w:p>
      <w:pPr>
        <w:pStyle w:val="BodyText"/>
      </w:pPr>
      <w:r>
        <w:t xml:space="preserve">Brand Identity Systems</w:t>
      </w:r>
    </w:p>
    <w:p>
      <w:pPr>
        <w:pStyle w:val="BodyText"/>
      </w:pPr>
      <w:r>
        <w:t xml:space="preserve">42,800</w:t>
      </w:r>
    </w:p>
    <w:p>
      <w:pPr>
        <w:pStyle w:val="BodyText"/>
      </w:pPr>
      <w:r>
        <w:t xml:space="preserve">+17.3%</w:t>
      </w:r>
    </w:p>
    <w:p>
      <w:pPr>
        <w:pStyle w:val="BodyText"/>
      </w:pPr>
      <w:r>
        <w:t xml:space="preserve">Cultural heritage branding for Istanbul's 65+ new boutique hotels</w:t>
      </w:r>
    </w:p>
    <w:p>
      <w:pPr>
        <w:pStyle w:val="BodyText"/>
      </w:pPr>
      <w:r>
        <w:t xml:space="preserve">E-commerce Visual Assets</w:t>
      </w:r>
    </w:p>
    <w:p>
      <w:pPr>
        <w:pStyle w:val="BodyText"/>
      </w:pPr>
      <w:r>
        <w:t xml:space="preserve">28,500</w:t>
      </w:r>
    </w:p>
    <w:p>
      <w:pPr>
        <w:pStyle w:val="BodyText"/>
      </w:pPr>
      <w:r>
        <w:t xml:space="preserve">+31.9%</w:t>
      </w:r>
    </w:p>
    <w:p>
      <w:pPr>
        <w:pStyle w:val="BodyText"/>
      </w:pPr>
      <w:r>
        <w:t xml:space="preserve">Instagram/TikTok campaigns for local fashion brands targeting Gen Z Istanbul consumers</w:t>
      </w:r>
    </w:p>
    <w:p>
      <w:pPr>
        <w:pStyle w:val="BodyText"/>
      </w:pPr>
      <w:r>
        <w:t xml:space="preserve">Digital Ad Campaigns</w:t>
      </w:r>
    </w:p>
    <w:p>
      <w:pPr>
        <w:pStyle w:val="BodyText"/>
      </w:pPr>
      <w:r>
        <w:t xml:space="preserve">Our Graphic Designers achieved a 41% average conversion lift for clients using their visual assets, directly translating to higher sales. Notable case studies include:</w:t>
      </w:r>
    </w:p>
    <w:p>
      <w:pPr>
        <w:numPr>
          <w:ilvl w:val="0"/>
          <w:numId w:val="1002"/>
        </w:numPr>
        <w:pStyle w:val="Compact"/>
      </w:pPr>
      <w:r>
        <w:rPr>
          <w:bCs/>
          <w:b/>
        </w:rPr>
        <w:t xml:space="preserve">Lavender Boutique (Beşiktaş):</w:t>
      </w:r>
      <w:r>
        <w:t xml:space="preserve"> </w:t>
      </w:r>
      <w:r>
        <w:t xml:space="preserve">Instagram campaign redesign generated 217% more online orders within 30 days of launch</w:t>
      </w:r>
    </w:p>
    <w:p>
      <w:pPr>
        <w:numPr>
          <w:ilvl w:val="0"/>
          <w:numId w:val="1002"/>
        </w:numPr>
        <w:pStyle w:val="Compact"/>
      </w:pPr>
      <w:r>
        <w:rPr>
          <w:bCs/>
          <w:b/>
        </w:rPr>
        <w:t xml:space="preserve">Karadeniz Seafood Restaurant (Kadıköy):</w:t>
      </w:r>
      <w:r>
        <w:t xml:space="preserve"> </w:t>
      </w:r>
      <w:r>
        <w:t xml:space="preserve">Menu rebrand with Turkish calligraphy increased table turnover by 28% through improved visual appeal</w:t>
      </w:r>
    </w:p>
    <w:p>
      <w:pPr>
        <w:numPr>
          <w:ilvl w:val="0"/>
          <w:numId w:val="1002"/>
        </w:numPr>
        <w:pStyle w:val="Compact"/>
      </w:pPr>
      <w:r>
        <w:rPr>
          <w:bCs/>
          <w:b/>
        </w:rPr>
        <w:t xml:space="preserve">Aslan Tech (Levent):</w:t>
      </w:r>
      <w:r>
        <w:t xml:space="preserve"> </w:t>
      </w:r>
      <w:r>
        <w:t xml:space="preserve">App interface redesign reduced user drop-off by 36%, directly boosting subscription sales</w:t>
      </w:r>
    </w:p>
    <w:bookmarkEnd w:id="22"/>
    <w:bookmarkStart w:id="23" w:name="X04ac4481f855f6e3a071ba74b6b897e6484d3c0"/>
    <w:p>
      <w:pPr>
        <w:pStyle w:val="Heading2"/>
      </w:pPr>
      <w:r>
        <w:t xml:space="preserve">Key Challenges in Istanbul's Graphic Design Sales Environment</w:t>
      </w:r>
    </w:p>
    <w:p>
      <w:pPr>
        <w:pStyle w:val="FirstParagraph"/>
      </w:pPr>
      <w:r>
        <w:t xml:space="preserve">Despite strong performance, our sales team identified critical market-specific obstacles affecting Graphic Designer deliverables:</w:t>
      </w:r>
    </w:p>
    <w:p>
      <w:pPr>
        <w:numPr>
          <w:ilvl w:val="0"/>
          <w:numId w:val="1003"/>
        </w:numPr>
        <w:pStyle w:val="Compact"/>
      </w:pPr>
      <w:r>
        <w:rPr>
          <w:bCs/>
          <w:b/>
        </w:rPr>
        <w:t xml:space="preserve">Cultural Misalignment Risks:</w:t>
      </w:r>
      <w:r>
        <w:t xml:space="preserve"> </w:t>
      </w:r>
      <w:r>
        <w:t xml:space="preserve">15% of initial client briefs contained unrealistic requests (e.g., "Make it look like London" for a Turkish heritage brand), causing 2-3 week delays in sales cycle. Our Istanbul-based designers mitigated this through mandatory cultural workshops during onboarding.</w:t>
      </w:r>
    </w:p>
    <w:p>
      <w:pPr>
        <w:numPr>
          <w:ilvl w:val="0"/>
          <w:numId w:val="1003"/>
        </w:numPr>
        <w:pStyle w:val="Compact"/>
      </w:pPr>
      <w:r>
        <w:rPr>
          <w:bCs/>
          <w:b/>
        </w:rPr>
        <w:t xml:space="preserve">Competitive Pressure:</w:t>
      </w:r>
      <w:r>
        <w:t xml:space="preserve"> </w:t>
      </w:r>
      <w:r>
        <w:t xml:space="preserve">Price wars from offshore agencies undercutting local design value by 25-40%. Our solution: Bundling graphic design with sales analytics (e.g., "Design + Conversion Tracking") increased average project value by 38%.</w:t>
      </w:r>
    </w:p>
    <w:p>
      <w:pPr>
        <w:numPr>
          <w:ilvl w:val="0"/>
          <w:numId w:val="1003"/>
        </w:numPr>
        <w:pStyle w:val="Compact"/>
      </w:pPr>
      <w:r>
        <w:rPr>
          <w:bCs/>
          <w:b/>
        </w:rPr>
        <w:t xml:space="preserve">Regulatory Hurdles:</w:t>
      </w:r>
      <w:r>
        <w:t xml:space="preserve"> </w:t>
      </w:r>
      <w:r>
        <w:t xml:space="preserve">New Turkish Advertising Code (2023) requiring all visuals to include "Turkish" in product descriptions added complexity. Our Graphic Design team developed a compliance checklist, reducing rework by 67%.</w:t>
      </w:r>
    </w:p>
    <w:bookmarkEnd w:id="23"/>
    <w:bookmarkStart w:id="27" w:name="Xe78ed4b66a382c53d1e1cf40bdb2e51b04525bb"/>
    <w:p>
      <w:pPr>
        <w:pStyle w:val="Heading2"/>
      </w:pPr>
      <w:r>
        <w:t xml:space="preserve">Strategic Recommendations for Sales Optimization</w:t>
      </w:r>
    </w:p>
    <w:p>
      <w:pPr>
        <w:pStyle w:val="FirstParagraph"/>
      </w:pPr>
      <w:r>
        <w:t xml:space="preserve">To leverage Istanbul's unique market position, we recommend these data-driven actions:</w:t>
      </w:r>
    </w:p>
    <w:bookmarkStart w:id="24" w:name="hyper-localized-designer-training"/>
    <w:p>
      <w:pPr>
        <w:pStyle w:val="Heading3"/>
      </w:pPr>
      <w:r>
        <w:t xml:space="preserve">1. Hyper-Localized Designer Training</w:t>
      </w:r>
    </w:p>
    <w:p>
      <w:pPr>
        <w:pStyle w:val="FirstParagraph"/>
      </w:pPr>
      <w:r>
        <w:t xml:space="preserve">Create Istanbul-specific design modules covering:</w:t>
      </w:r>
      <w:r>
        <w:t xml:space="preserve"> </w:t>
      </w:r>
      <w:r>
        <w:t xml:space="preserve">• Ottoman-inspired pattern integration (for luxury/heritage sectors)</w:t>
      </w:r>
      <w:r>
        <w:t xml:space="preserve"> </w:t>
      </w:r>
      <w:r>
        <w:t xml:space="preserve">• Ramadan/Eid campaign timing protocols</w:t>
      </w:r>
      <w:r>
        <w:t xml:space="preserve"> </w:t>
      </w:r>
      <w:r>
        <w:t xml:space="preserve">• Turkish language typography best practices</w:t>
      </w:r>
      <w:r>
        <w:t xml:space="preserve"> </w:t>
      </w:r>
      <w:r>
        <w:t xml:space="preserve">This will reduce redesign requests by an estimated 25% and accelerate sales cycles for new clients.</w:t>
      </w:r>
    </w:p>
    <w:bookmarkEnd w:id="24"/>
    <w:bookmarkStart w:id="25" w:name="sales-design-alignment-framework"/>
    <w:p>
      <w:pPr>
        <w:pStyle w:val="Heading3"/>
      </w:pPr>
      <w:r>
        <w:t xml:space="preserve">2. Sales-Design Alignment Framework</w:t>
      </w:r>
    </w:p>
    <w:p>
      <w:pPr>
        <w:pStyle w:val="FirstParagraph"/>
      </w:pPr>
      <w:r>
        <w:t xml:space="preserve">Implement weekly cross-functional meetings between Sales and Graphic Design teams to:</w:t>
      </w:r>
      <w:r>
        <w:t xml:space="preserve"> </w:t>
      </w:r>
      <w:r>
        <w:t xml:space="preserve">• Share client pain points from Istanbul market (e.g., "Kadıköy coffee shops need Instagram content that doesn't feel generic")</w:t>
      </w:r>
      <w:r>
        <w:t xml:space="preserve"> </w:t>
      </w:r>
      <w:r>
        <w:t xml:space="preserve">• Co-develop sales collateral showcasing localized case studies</w:t>
      </w:r>
      <w:r>
        <w:t xml:space="preserve"> </w:t>
      </w:r>
      <w:r>
        <w:t xml:space="preserve">This has already increased sales conversion by 18% in Q3 as seen in our new client onboarding process.</w:t>
      </w:r>
    </w:p>
    <w:bookmarkEnd w:id="25"/>
    <w:bookmarkStart w:id="26" w:name="premium-tier-positioning"/>
    <w:p>
      <w:pPr>
        <w:pStyle w:val="Heading3"/>
      </w:pPr>
      <w:r>
        <w:t xml:space="preserve">3. Premium Tier Positioning</w:t>
      </w:r>
    </w:p>
    <w:p>
      <w:pPr>
        <w:pStyle w:val="FirstParagraph"/>
      </w:pPr>
      <w:r>
        <w:t xml:space="preserve">Introduce "Istanbul Creative Impact" service tier (25% price premium) including:</w:t>
      </w:r>
      <w:r>
        <w:t xml:space="preserve"> </w:t>
      </w:r>
      <w:r>
        <w:t xml:space="preserve">• Exclusive access to Istanbul cultural heritage assets library</w:t>
      </w:r>
      <w:r>
        <w:t xml:space="preserve"> </w:t>
      </w:r>
      <w:r>
        <w:t xml:space="preserve">• Sales performance tracking for every visual asset</w:t>
      </w:r>
      <w:r>
        <w:t xml:space="preserve"> </w:t>
      </w:r>
      <w:r>
        <w:t xml:space="preserve">• Dedicated Turkish language design compliance officer</w:t>
      </w:r>
      <w:r>
        <w:t xml:space="preserve"> </w:t>
      </w:r>
      <w:r>
        <w:t xml:space="preserve">Early pilot with 12 clients shows 93% willingness to pay premium for this local expertise.</w:t>
      </w:r>
    </w:p>
    <w:bookmarkEnd w:id="26"/>
    <w:bookmarkEnd w:id="27"/>
    <w:bookmarkStart w:id="28" w:name="Xce2d65935a8acff5a078d7a30637aa203bf551e"/>
    <w:p>
      <w:pPr>
        <w:pStyle w:val="Heading2"/>
      </w:pPr>
      <w:r>
        <w:t xml:space="preserve">Conclusion: The Graphic Designer as Revenue Catalyst</w:t>
      </w:r>
    </w:p>
    <w:p>
      <w:pPr>
        <w:pStyle w:val="FirstParagraph"/>
      </w:pPr>
      <w:r>
        <w:t xml:space="preserve">This report unequivocally demonstrates that in Turkey's Istanbul market, the Graphic Designer role is not merely a creative function but the single most effective sales driver. Our data reveals that every 10% increase in design quality correlates to 7.2% higher client retention and 14.5% faster sales velocity—particularly critical in Istanbul's competitive commercial environment where brands differentiate through visual storytelling.</w:t>
      </w:r>
    </w:p>
    <w:p>
      <w:pPr>
        <w:pStyle w:val="BodyText"/>
      </w:pPr>
      <w:r>
        <w:t xml:space="preserve">As Turkey's economy continues to prioritize creative sectors (with Istanbul absorbing 83% of national creative investment), we must position our Graphic Designers as strategic revenue partners rather than service providers. The 2023 Q3 results confirm that in the Istanbul context, exceptional design doesn't just enhance branding—it directly fuels sales growth. Our roadmap for 2024 includes expanding our Istanbul-based design team by 40% and developing proprietary tools to quantify design impact on sales metrics—a capability now essential for winning Turkey's most competitive markets.</w:t>
      </w:r>
    </w:p>
    <w:p>
      <w:pPr>
        <w:pStyle w:val="BodyText"/>
      </w:pPr>
      <w:r>
        <w:rPr>
          <w:bCs/>
          <w:b/>
        </w:rPr>
        <w:t xml:space="preserve">Prepared By:</w:t>
      </w:r>
      <w:r>
        <w:t xml:space="preserve"> </w:t>
      </w:r>
      <w:r>
        <w:t xml:space="preserve">Marketing Analytics Division, Istanbul Creative Solutions</w:t>
      </w:r>
      <w:r>
        <w:t xml:space="preserve"> </w:t>
      </w:r>
      <w:r>
        <w:rPr>
          <w:bCs/>
          <w:b/>
        </w:rPr>
        <w:t xml:space="preserve">Date:</w:t>
      </w:r>
      <w:r>
        <w:t xml:space="preserve"> </w:t>
      </w:r>
      <w:r>
        <w:t xml:space="preserve">October 15, 2023</w:t>
      </w:r>
      <w:r>
        <w:t xml:space="preserve"> </w:t>
      </w:r>
      <w:r>
        <w:rPr>
          <w:bCs/>
          <w:b/>
        </w:rPr>
        <w:t xml:space="preserve">Confidential: Internal Use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Performance in Turkey Istanbul Market</dc:title>
  <dc:creator/>
  <dc:language>en</dc:language>
  <cp:keywords/>
  <dcterms:created xsi:type="dcterms:W3CDTF">2025-12-09T07:16:27Z</dcterms:created>
  <dcterms:modified xsi:type="dcterms:W3CDTF">2025-12-09T07:16:27Z</dcterms:modified>
</cp:coreProperties>
</file>

<file path=docProps/custom.xml><?xml version="1.0" encoding="utf-8"?>
<Properties xmlns="http://schemas.openxmlformats.org/officeDocument/2006/custom-properties" xmlns:vt="http://schemas.openxmlformats.org/officeDocument/2006/docPropsVTypes"/>
</file>