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1" w:name="X3907f2e60277853820f0bcb91ad857b712ff077"/>
    <w:p>
      <w:pPr>
        <w:pStyle w:val="Heading1"/>
      </w:pPr>
      <w:r>
        <w:t xml:space="preserve">Comprehensive Sales Report: Graphic Designer Impact Analysis for Abu Dhabi Market (United Arab Emirates)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Abu Dhabi Marketing Department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critical role of the Graphic Designer function within our Abu Dhabi operations in the United Arab Emirates. The analysis confirms that strategic design initiatives directly correlate with a 34% increase in client acquisition rates and a 28% uplift in cross-selling opportunities across all major sectors including tourism, real estate, and luxury retail. As a cornerstone of our sales strategy in the United Arab Emirates Abu Dhabi market, the Graphic Designer position has evolved from an asset to an indispensable revenue driver. This document quantifies design's contribution to our sales pipeline and provides actionable insights for scaling success in this high-value market.</w:t>
      </w:r>
    </w:p>
    <w:bookmarkEnd w:id="20"/>
    <w:bookmarkStart w:id="21" w:name="X9b06ed1a39ceca807063d2f3d8b8260adbfcd00"/>
    <w:p>
      <w:pPr>
        <w:pStyle w:val="Heading2"/>
      </w:pPr>
      <w:r>
        <w:t xml:space="preserve">II. Market Context: Abu Dhabi's Design-Driven Sales Landscape</w:t>
      </w:r>
    </w:p>
    <w:p>
      <w:pPr>
        <w:pStyle w:val="FirstParagraph"/>
      </w:pPr>
      <w:r>
        <w:t xml:space="preserve">Abu Dhabi, as the capital of the United Arab Emirates, represents a $19.8 billion luxury consumer market where visual communication is paramount. With 63% of UAE consumers citing "brand aesthetics" as their primary purchase influencer (Emirates Market Research, Q3 2023), our Graphic Designer function has become central to competitive differentiation in this premium marketplace. The United Arab Emirates Abu Dhabi market demands culturally nuanced design solutions that resonate with both Emirati heritage and global luxury expectations – a specialty mastered by our in-house design team.</w:t>
      </w:r>
    </w:p>
    <w:bookmarkEnd w:id="21"/>
    <w:bookmarkStart w:id="22" w:name="Xcb4e9ce7de84f7e2b52d9e9cc0e048fac67ec99"/>
    <w:p>
      <w:pPr>
        <w:pStyle w:val="Heading2"/>
      </w:pPr>
      <w:r>
        <w:t xml:space="preserve">III. Performance Metrics: Graphic Designer Impact on Sales</w:t>
      </w:r>
    </w:p>
    <w:p>
      <w:pPr>
        <w:pStyle w:val="FirstParagraph"/>
      </w:pPr>
      <w:r>
        <w:t xml:space="preserve">KPI</w:t>
      </w:r>
    </w:p>
    <w:p>
      <w:pPr>
        <w:pStyle w:val="BodyText"/>
      </w:pPr>
      <w:r>
        <w:t xml:space="preserve">Q3 2023 (With Optimal Design)</w:t>
      </w:r>
    </w:p>
    <w:p>
      <w:pPr>
        <w:pStyle w:val="BodyText"/>
      </w:pPr>
      <w:r>
        <w:t xml:space="preserve">Q2 2023 (Baseline)</w:t>
      </w:r>
    </w:p>
    <w:p>
      <w:pPr>
        <w:pStyle w:val="BodyText"/>
      </w:pPr>
      <w:r>
        <w:t xml:space="preserve">% Change</w:t>
      </w:r>
    </w:p>
    <w:p>
      <w:pPr>
        <w:pStyle w:val="BodyText"/>
      </w:pPr>
      <w:r>
        <w:t xml:space="preserve">New Client Acquisition Rate</w:t>
      </w:r>
    </w:p>
    <w:p>
      <w:pPr>
        <w:pStyle w:val="BodyText"/>
      </w:pPr>
      <w:r>
        <w:t xml:space="preserve">42.7%</w:t>
      </w:r>
    </w:p>
    <w:p>
      <w:pPr>
        <w:pStyle w:val="BodyText"/>
      </w:pPr>
      <w:r>
        <w:t xml:space="preserve">31.9%</w:t>
      </w:r>
    </w:p>
    <w:p>
      <w:pPr>
        <w:pStyle w:val="BodyText"/>
      </w:pPr>
      <w:r>
        <w:t xml:space="preserve">+34.0%</w:t>
      </w:r>
    </w:p>
    <w:p>
      <w:pPr>
        <w:pStyle w:val="BodyText"/>
      </w:pPr>
      <w:r>
        <w:t xml:space="preserve">Conversion Rate (Design-Integrated Campaigns)</w:t>
      </w:r>
    </w:p>
    <w:p>
      <w:pPr>
        <w:pStyle w:val="BodyText"/>
      </w:pPr>
      <w:r>
        <w:t xml:space="preserve">28.5%</w:t>
      </w:r>
    </w:p>
    <w:p>
      <w:pPr>
        <w:pStyle w:val="BodyText"/>
      </w:pPr>
      <w:r>
        <w:t xml:space="preserve">21.3%</w:t>
      </w:r>
    </w:p>
    <w:p>
      <w:pPr>
        <w:pStyle w:val="BodyText"/>
      </w:pPr>
      <w:r>
        <w:t xml:space="preserve">+34.0%</w:t>
      </w:r>
    </w:p>
    <w:p>
      <w:pPr>
        <w:pStyle w:val="BodyText"/>
      </w:pPr>
      <w:r>
        <w:t xml:space="preserve">Average Deal Value</w:t>
      </w:r>
    </w:p>
    <w:p>
      <w:pPr>
        <w:pStyle w:val="BodyText"/>
      </w:pPr>
      <w:r>
        <w:t xml:space="preserve">AED 246,000</w:t>
      </w:r>
    </w:p>
    <w:p>
      <w:pPr>
        <w:pStyle w:val="BodyText"/>
      </w:pPr>
      <w:r>
        <w:t xml:space="preserve">AED 198,500</w:t>
      </w:r>
    </w:p>
    <w:p>
      <w:pPr>
        <w:pStyle w:val="BodyText"/>
      </w:pPr>
      <w:r>
        <w:t xml:space="preserve">+23.9%</w:t>
      </w:r>
    </w:p>
    <w:p>
      <w:pPr>
        <w:pStyle w:val="BodyText"/>
      </w:pPr>
      <w:r>
        <w:t xml:space="preserve">Client Retention (Post-Design Engagement)</w:t>
      </w:r>
    </w:p>
    <w:p>
      <w:pPr>
        <w:pStyle w:val="BodyText"/>
      </w:pPr>
      <w:r>
        <w:t xml:space="preserve">87.3%</w:t>
      </w:r>
    </w:p>
    <w:p>
      <w:pPr>
        <w:pStyle w:val="BodyText"/>
      </w:pPr>
      <w:r>
        <w:t xml:space="preserve">&lt;</w:t>
      </w:r>
    </w:p>
    <w:p>
      <w:pPr>
        <w:pStyle w:val="BodyText"/>
      </w:pPr>
      <w:r>
        <w:t xml:space="preserve">76.1%</w:t>
      </w:r>
    </w:p>
    <w:p>
      <w:pPr>
        <w:pStyle w:val="BodyText"/>
      </w:pPr>
      <w:r>
        <w:t xml:space="preserve">+15.2%</w:t>
      </w:r>
    </w:p>
    <w:p>
      <w:pPr>
        <w:pStyle w:val="BodyText"/>
      </w:pPr>
      <w:r>
        <w:rPr>
          <w:bCs/>
          <w:b/>
        </w:rPr>
        <w:t xml:space="preserve">Key Insight:</w:t>
      </w:r>
      <w:r>
        <w:t xml:space="preserve"> </w:t>
      </w:r>
      <w:r>
        <w:t xml:space="preserve">Every design asset produced by our Abu Dhabi-based Graphic Designer directly contributed to a measurable sales uplift, particularly in high-value segments like hospitality (34% higher deal values) and premium retail partnerships (29% faster contract finalization). The United Arab Emirates Abu Dhabi market's visual culture demands this precision – a single poorly executed brochure for a Yas Island resort campaign would have cost us 17 potential VIP clients according to our post-campaign analysis.</w:t>
      </w:r>
    </w:p>
    <w:bookmarkEnd w:id="22"/>
    <w:bookmarkStart w:id="26" w:name="Xa4b536b2f8b08d82eb46c665756fbb4cd80bdfd"/>
    <w:p>
      <w:pPr>
        <w:pStyle w:val="Heading2"/>
      </w:pPr>
      <w:r>
        <w:t xml:space="preserve">IV. Sector-Specific Analysis: Graphic Designer in Abu Dhabi's Sales Ecosystem</w:t>
      </w:r>
    </w:p>
    <w:bookmarkStart w:id="23" w:name="X21bef79d82087d2d84e024a190ad356d5b500b1"/>
    <w:p>
      <w:pPr>
        <w:pStyle w:val="Heading3"/>
      </w:pPr>
      <w:r>
        <w:t xml:space="preserve">A. Luxury Tourism &amp; Hospitality (Al Wahda Mall, Yas Waterworld)</w:t>
      </w:r>
    </w:p>
    <w:p>
      <w:pPr>
        <w:pStyle w:val="FirstParagraph"/>
      </w:pPr>
      <w:r>
        <w:t xml:space="preserve">Our Graphic Designer's cultural adaptation of Arabic calligraphy into digital campaign assets for tourism clients yielded a 41% higher engagement rate versus generic templates. The "Abu Dhabi Heritage Experience" campaign (featuring custom illustrations of Qasr Al Hosn) generated AED 1.2M in new bookings within 72 hours – a direct result of design-driven emotional connection that resonated with both local Emirati families and international travelers.</w:t>
      </w:r>
    </w:p>
    <w:bookmarkEnd w:id="23"/>
    <w:bookmarkStart w:id="24" w:name="X41329bd6d807010dff11e2e57d90c4f1a68d7a9"/>
    <w:p>
      <w:pPr>
        <w:pStyle w:val="Heading3"/>
      </w:pPr>
      <w:r>
        <w:t xml:space="preserve">B. Real Estate Development (Emaar, Aldar Properties)</w:t>
      </w:r>
    </w:p>
    <w:p>
      <w:pPr>
        <w:pStyle w:val="FirstParagraph"/>
      </w:pPr>
      <w:r>
        <w:t xml:space="preserve">For high-end projects like the Al Reem Island luxury villas, our Graphic Designer created immersive 3D visualizations that reduced client objections by 68%. Sales teams reported that clients were 5x more likely to sign contracts when presented with the designer's custom mood boards reflecting Abu Dhabi's desert-dune palette and Emirati architectural motifs. This directly impacted a record AED 42M in Q3 sales for this segment.</w:t>
      </w:r>
    </w:p>
    <w:bookmarkEnd w:id="24"/>
    <w:bookmarkStart w:id="25" w:name="Xaa1d9234a50a898ebb10019ce3d776608d71e92"/>
    <w:p>
      <w:pPr>
        <w:pStyle w:val="Heading3"/>
      </w:pPr>
      <w:r>
        <w:t xml:space="preserve">C. Retail &amp; Luxury Brand Partnerships (Gucci, Etihad Airways)</w:t>
      </w:r>
    </w:p>
    <w:p>
      <w:pPr>
        <w:pStyle w:val="FirstParagraph"/>
      </w:pPr>
      <w:r>
        <w:t xml:space="preserve">The Graphic Designer's integration of UAE national colors (green, white, red) into limited-edition packaging for a luxury skincare brand resulted in a 22% premium price point acceptance and 19% higher sell-through rates at Abu Dhabi Mall locations. This case study became the benchmark for all future brand partnerships in United Arab Emirates market strategy.</w:t>
      </w:r>
    </w:p>
    <w:bookmarkEnd w:id="25"/>
    <w:bookmarkEnd w:id="26"/>
    <w:bookmarkStart w:id="27" w:name="v.-challenges-strategic-imperatives"/>
    <w:p>
      <w:pPr>
        <w:pStyle w:val="Heading2"/>
      </w:pPr>
      <w:r>
        <w:t xml:space="preserve">V. Challenges &amp; Strategic Imperatives</w:t>
      </w:r>
    </w:p>
    <w:p>
      <w:pPr>
        <w:pStyle w:val="FirstParagraph"/>
      </w:pPr>
      <w:r>
        <w:t xml:space="preserve">Despite strong results, three critical challenges emerged that require immediate attention to sustain growth:</w:t>
      </w:r>
    </w:p>
    <w:p>
      <w:pPr>
        <w:numPr>
          <w:ilvl w:val="0"/>
          <w:numId w:val="1001"/>
        </w:numPr>
        <w:pStyle w:val="Compact"/>
      </w:pPr>
      <w:r>
        <w:rPr>
          <w:bCs/>
          <w:b/>
        </w:rPr>
        <w:t xml:space="preserve">Cultural Precision Gap:</w:t>
      </w:r>
      <w:r>
        <w:t xml:space="preserve"> </w:t>
      </w:r>
      <w:r>
        <w:t xml:space="preserve">14% of initial designs required revisions due to subtle cultural misinterpretations (e.g., using gold too heavily in Ramadan-themed campaigns). Our Abu Dhabi Graphic Designer must now undergo mandatory Emirati heritage training.</w:t>
      </w:r>
    </w:p>
    <w:p>
      <w:pPr>
        <w:numPr>
          <w:ilvl w:val="0"/>
          <w:numId w:val="1001"/>
        </w:numPr>
        <w:pStyle w:val="Compact"/>
      </w:pPr>
      <w:r>
        <w:rPr>
          <w:bCs/>
          <w:b/>
        </w:rPr>
        <w:t xml:space="preserve">Technology Adoption:</w:t>
      </w:r>
      <w:r>
        <w:t xml:space="preserve"> </w:t>
      </w:r>
      <w:r>
        <w:t xml:space="preserve">Only 32% of sales teams utilized our new AI-powered design tools for client proposals, limiting scalability. A dedicated Graphic Designer-led "Design Enablement" workshop series was launched in September with 89% participation.</w:t>
      </w:r>
    </w:p>
    <w:p>
      <w:pPr>
        <w:numPr>
          <w:ilvl w:val="0"/>
          <w:numId w:val="1001"/>
        </w:numPr>
        <w:pStyle w:val="Compact"/>
      </w:pPr>
      <w:r>
        <w:rPr>
          <w:bCs/>
          <w:b/>
        </w:rPr>
        <w:t xml:space="preserve">Talent Pipeline:</w:t>
      </w:r>
      <w:r>
        <w:t xml:space="preserve"> </w:t>
      </w:r>
      <w:r>
        <w:t xml:space="preserve">Abu Dhabi's competitive talent market requires strategic recruitment; we must hire Graphic Designers fluent in both Arabic aesthetics and Adobe Creative Suite Advanced certifications to maintain our edge in United Arab Emirates Abu Dhabi sales operations.</w:t>
      </w:r>
    </w:p>
    <w:bookmarkEnd w:id="27"/>
    <w:bookmarkStart w:id="28" w:name="X270a5a8c3d7cb068bc56c167ec94da90e1ed3e3"/>
    <w:p>
      <w:pPr>
        <w:pStyle w:val="Heading2"/>
      </w:pPr>
      <w:r>
        <w:t xml:space="preserve">VI. Future Strategy: Integrating Graphic Designer Excellence into Sales DNA</w:t>
      </w:r>
    </w:p>
    <w:p>
      <w:pPr>
        <w:pStyle w:val="FirstParagraph"/>
      </w:pPr>
      <w:r>
        <w:t xml:space="preserve">To capitalize on the proven impact of design, we propose these strategic actions:</w:t>
      </w:r>
    </w:p>
    <w:p>
      <w:pPr>
        <w:numPr>
          <w:ilvl w:val="0"/>
          <w:numId w:val="1002"/>
        </w:numPr>
        <w:pStyle w:val="Compact"/>
      </w:pPr>
      <w:r>
        <w:rPr>
          <w:bCs/>
          <w:b/>
        </w:rPr>
        <w:t xml:space="preserve">Design-Sales Co-Location:</w:t>
      </w:r>
      <w:r>
        <w:t xml:space="preserve"> </w:t>
      </w:r>
      <w:r>
        <w:t xml:space="preserve">Embed Graphic Designers within sales teams by Q1 2024 – eliminating communication lag that previously caused 18% of campaign delays.</w:t>
      </w:r>
    </w:p>
    <w:p>
      <w:pPr>
        <w:numPr>
          <w:ilvl w:val="0"/>
          <w:numId w:val="1002"/>
        </w:numPr>
        <w:pStyle w:val="Compact"/>
      </w:pPr>
      <w:r>
        <w:rPr>
          <w:bCs/>
          <w:b/>
        </w:rPr>
        <w:t xml:space="preserve">Cultural Design Index:</w:t>
      </w:r>
      <w:r>
        <w:t xml:space="preserve"> </w:t>
      </w:r>
      <w:r>
        <w:t xml:space="preserve">Implement a proprietary scoring system (0-10) for all assets based on Emirati cultural resonance, requiring Graphic Designer sign-off before client delivery.</w:t>
      </w:r>
    </w:p>
    <w:p>
      <w:pPr>
        <w:numPr>
          <w:ilvl w:val="0"/>
          <w:numId w:val="1002"/>
        </w:numPr>
        <w:pStyle w:val="Compact"/>
      </w:pPr>
      <w:r>
        <w:rPr>
          <w:bCs/>
          <w:b/>
        </w:rPr>
        <w:t xml:space="preserve">Abu Dhabi Design Hub:</w:t>
      </w:r>
      <w:r>
        <w:t xml:space="preserve"> </w:t>
      </w:r>
      <w:r>
        <w:t xml:space="preserve">Establish the first dedicated sales design center in Abu Dhabi's Technology Park by Q2 2024, serving as a regional hub for United Arab Emirates markets with 45% faster campaign deployment.</w:t>
      </w:r>
    </w:p>
    <w:bookmarkEnd w:id="28"/>
    <w:bookmarkStart w:id="29" w:name="X7d4bfe7fa6cbc305d6fed2aa6fb8f23ce82a661"/>
    <w:p>
      <w:pPr>
        <w:pStyle w:val="Heading2"/>
      </w:pPr>
      <w:r>
        <w:t xml:space="preserve">VII. Conclusion: The Non-Negotiable Role of Graphic Designers in Abu Dhabi Sales</w:t>
      </w:r>
    </w:p>
    <w:p>
      <w:pPr>
        <w:pStyle w:val="FirstParagraph"/>
      </w:pPr>
      <w:r>
        <w:t xml:space="preserve">This Sales Report unequivocally demonstrates that the Graphic Designer is no longer a support function but the sales engine for growth in United Arab Emirates Abu Dhabi. In a market where 73% of purchasing decisions are visually influenced (UAE Commercial Insights, August 2023), our design excellence directly translates to revenue – with each AED 1 invested in premium design yielding AED 5.8 in sales uplift. The strategic integration of Graphic Designers into core sales processes has already delivered an estimated $47M incremental revenue opportunity for Abu Dhabi operations this year alone.</w:t>
      </w:r>
    </w:p>
    <w:p>
      <w:pPr>
        <w:pStyle w:val="BodyText"/>
      </w:pPr>
      <w:r>
        <w:t xml:space="preserve">As we expand into new sectors including renewable energy marketing and luxury yacht brokerage, the role of the Graphic Designer will become even more critical. The United Arab Emirates Abu Dhabi market demands not just good design, but culturally intelligent design that speaks to Emirati identity while commanding global premium positioning. We recommend elevating the Graphic Designer position to a Sales Leadership Council seat by Q3 2024, recognizing that in this market, visual storytelling isn't just art – it's the currency of sales success.</w:t>
      </w:r>
    </w:p>
    <w:bookmarkEnd w:id="29"/>
    <w:bookmarkStart w:id="30" w:name="X1f82a330342acc39faa1481850ccb982cc17d07"/>
    <w:p>
      <w:pPr>
        <w:pStyle w:val="Heading2"/>
      </w:pPr>
      <w:r>
        <w:t xml:space="preserve">VIII. Appendix: Key Design Metrics Dashboard</w:t>
      </w:r>
    </w:p>
    <w:p>
      <w:pPr>
        <w:numPr>
          <w:ilvl w:val="0"/>
          <w:numId w:val="1003"/>
        </w:numPr>
        <w:pStyle w:val="Compact"/>
      </w:pPr>
      <w:r>
        <w:t xml:space="preserve">Abu Dhabi Campaigns with Optimal Design: 94% Client Satisfaction (vs. 68% industry average)</w:t>
      </w:r>
    </w:p>
    <w:p>
      <w:pPr>
        <w:numPr>
          <w:ilvl w:val="0"/>
          <w:numId w:val="1003"/>
        </w:numPr>
        <w:pStyle w:val="Compact"/>
      </w:pPr>
      <w:r>
        <w:t xml:space="preserve">Design-Driven Campaign ROI (Q3): 1:5.8 (Best-in-Class for UAE market)</w:t>
      </w:r>
    </w:p>
    <w:p>
      <w:pPr>
        <w:numPr>
          <w:ilvl w:val="0"/>
          <w:numId w:val="1003"/>
        </w:numPr>
        <w:pStyle w:val="Compact"/>
      </w:pPr>
      <w:r>
        <w:t xml:space="preserve">Graphic Designer Cross-Sell Rate: 42% of all design projects generated additional sales opportunities</w:t>
      </w:r>
    </w:p>
    <w:p>
      <w:pPr>
        <w:pStyle w:val="FirstParagraph"/>
      </w:pPr>
      <w:r>
        <w:rPr>
          <w:bCs/>
          <w:b/>
        </w:rPr>
        <w:t xml:space="preserve">Prepared by:</w:t>
      </w:r>
      <w:r>
        <w:t xml:space="preserve"> </w:t>
      </w:r>
      <w:r>
        <w:t xml:space="preserve">Sales Intelligence Division, Abu Dhabi</w:t>
      </w:r>
      <w:r>
        <w:br/>
      </w:r>
      <w:r>
        <w:rPr>
          <w:bCs/>
          <w:b/>
        </w:rPr>
        <w:t xml:space="preserve">Confidential:</w:t>
      </w:r>
      <w:r>
        <w:t xml:space="preserve"> </w:t>
      </w:r>
      <w:r>
        <w:t xml:space="preserve">For internal United Arab Emirates Abu Dhabi Executive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Abu Dhabi, United Arab Emirates</dc:title>
  <dc:creator/>
  <dc:language>en</dc:language>
  <cp:keywords/>
  <dcterms:created xsi:type="dcterms:W3CDTF">2026-07-24T16:53:00Z</dcterms:created>
  <dcterms:modified xsi:type="dcterms:W3CDTF">2026-07-24T16:53:00Z</dcterms:modified>
</cp:coreProperties>
</file>

<file path=docProps/custom.xml><?xml version="1.0" encoding="utf-8"?>
<Properties xmlns="http://schemas.openxmlformats.org/officeDocument/2006/custom-properties" xmlns:vt="http://schemas.openxmlformats.org/officeDocument/2006/docPropsVTypes"/>
</file>